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after="468" w:afterLines="150" w:line="400" w:lineRule="atLeast"/>
        <w:jc w:val="center"/>
        <w:outlineLvl w:val="0"/>
        <w:rPr>
          <w:rFonts w:hint="eastAsia" w:ascii="方正大标宋简体" w:hAnsi="方正大标宋简体" w:eastAsia="方正大标宋简体" w:cs="方正大标宋简体"/>
          <w:b w:val="0"/>
          <w:bCs/>
          <w:kern w:val="0"/>
          <w:sz w:val="36"/>
          <w:szCs w:val="36"/>
        </w:rPr>
      </w:pPr>
      <w:bookmarkStart w:id="0" w:name="_Toc424208458"/>
      <w:r>
        <w:rPr>
          <w:rFonts w:hint="eastAsia" w:ascii="方正小标宋简体" w:hAnsi="方正小标宋简体" w:eastAsia="方正小标宋简体" w:cs="方正小标宋简体"/>
          <w:b w:val="0"/>
          <w:bCs/>
          <w:kern w:val="0"/>
          <w:sz w:val="36"/>
          <w:szCs w:val="36"/>
        </w:rPr>
        <w:t>陕西师范大学研究生积学奖学金管理暂行办法</w:t>
      </w:r>
      <w:bookmarkEnd w:id="0"/>
    </w:p>
    <w:p>
      <w:pPr>
        <w:autoSpaceDE w:val="0"/>
        <w:autoSpaceDN w:val="0"/>
        <w:spacing w:before="156" w:beforeLines="50" w:after="156" w:afterLines="50" w:line="440" w:lineRule="atLeast"/>
        <w:jc w:val="center"/>
        <w:rPr>
          <w:rFonts w:ascii="仿宋_GB2312" w:hAnsi="Calibri" w:eastAsia="仿宋_GB2312" w:cs="Times New Roman"/>
          <w:b/>
          <w:kern w:val="0"/>
          <w:sz w:val="24"/>
          <w:szCs w:val="20"/>
        </w:rPr>
      </w:pPr>
      <w:r>
        <w:rPr>
          <w:rFonts w:ascii="仿宋_GB2312" w:hAnsi="Calibri" w:eastAsia="仿宋_GB2312" w:cs="Times New Roman"/>
          <w:b/>
          <w:kern w:val="0"/>
          <w:sz w:val="24"/>
          <w:szCs w:val="20"/>
        </w:rPr>
        <w:t xml:space="preserve">第一章 总 则 </w:t>
      </w:r>
    </w:p>
    <w:p>
      <w:pPr>
        <w:autoSpaceDE w:val="0"/>
        <w:autoSpaceDN w:val="0"/>
        <w:spacing w:line="440" w:lineRule="atLeast"/>
        <w:ind w:firstLine="480"/>
        <w:jc w:val="left"/>
        <w:rPr>
          <w:rFonts w:ascii="仿宋_GB2312" w:hAnsi="Calibri" w:eastAsia="仿宋_GB2312" w:cs="Times New Roman"/>
          <w:kern w:val="0"/>
          <w:sz w:val="24"/>
          <w:szCs w:val="20"/>
        </w:rPr>
      </w:pPr>
      <w:r>
        <w:rPr>
          <w:rFonts w:ascii="仿宋_GB2312" w:hAnsi="Calibri" w:eastAsia="仿宋_GB2312" w:cs="Times New Roman"/>
          <w:b/>
          <w:kern w:val="0"/>
          <w:sz w:val="24"/>
          <w:szCs w:val="24"/>
        </w:rPr>
        <w:t>第一条</w:t>
      </w:r>
      <w:r>
        <w:rPr>
          <w:rFonts w:ascii="仿宋_GB2312" w:hAnsi="Calibri" w:eastAsia="仿宋_GB2312" w:cs="Times New Roman"/>
          <w:kern w:val="0"/>
          <w:sz w:val="24"/>
          <w:szCs w:val="20"/>
        </w:rPr>
        <w:t xml:space="preserve"> 根据《财政部 国家发展改革委 教育部关于完善研究生教育投入机制的意见》（财教〔2013〕19号）及财</w:t>
      </w:r>
      <w:bookmarkStart w:id="1" w:name="_GoBack"/>
      <w:bookmarkEnd w:id="1"/>
      <w:r>
        <w:rPr>
          <w:rFonts w:ascii="仿宋_GB2312" w:hAnsi="Calibri" w:eastAsia="仿宋_GB2312" w:cs="Times New Roman"/>
          <w:kern w:val="0"/>
          <w:sz w:val="24"/>
          <w:szCs w:val="20"/>
        </w:rPr>
        <w:t xml:space="preserve">政部、教育部《研究生学业奖学金管理暂行办法》（财教〔2013〕219号）等文件精神，为鼓励我校研究生勤奋学习，刻苦钻研，进一步提高研究生的培养质量，大力建设创新人才培养的系统性工程，实施并不断完善研究生培养机制改革，大力推进研究生教育教学改革，我校设立陕西师范大学研究生积学奖学金。为加强对奖学金的管理，特制定本办法。 </w:t>
      </w:r>
    </w:p>
    <w:p>
      <w:pPr>
        <w:autoSpaceDE w:val="0"/>
        <w:autoSpaceDN w:val="0"/>
        <w:spacing w:line="440" w:lineRule="atLeast"/>
        <w:ind w:firstLine="480"/>
        <w:jc w:val="left"/>
        <w:rPr>
          <w:rFonts w:ascii="仿宋_GB2312" w:hAnsi="Calibri" w:eastAsia="仿宋_GB2312" w:cs="Times New Roman"/>
          <w:kern w:val="0"/>
          <w:sz w:val="24"/>
          <w:szCs w:val="20"/>
        </w:rPr>
      </w:pPr>
      <w:r>
        <w:rPr>
          <w:rFonts w:ascii="仿宋_GB2312" w:hAnsi="Calibri" w:eastAsia="仿宋_GB2312" w:cs="Times New Roman"/>
          <w:b/>
          <w:kern w:val="0"/>
          <w:sz w:val="24"/>
          <w:szCs w:val="24"/>
        </w:rPr>
        <w:t>第二条</w:t>
      </w:r>
      <w:r>
        <w:rPr>
          <w:rFonts w:ascii="仿宋_GB2312" w:hAnsi="Calibri" w:eastAsia="仿宋_GB2312" w:cs="Times New Roman"/>
          <w:kern w:val="0"/>
          <w:sz w:val="24"/>
          <w:szCs w:val="20"/>
        </w:rPr>
        <w:t xml:space="preserve"> 本办法所称研究生是指纳入全国研究生招生计划的全日制研究生。获得奖励的研究生须具有中华人民共和国国籍。 </w:t>
      </w:r>
    </w:p>
    <w:p>
      <w:pPr>
        <w:autoSpaceDE w:val="0"/>
        <w:autoSpaceDN w:val="0"/>
        <w:spacing w:line="440" w:lineRule="atLeast"/>
        <w:ind w:firstLine="480"/>
        <w:jc w:val="left"/>
        <w:rPr>
          <w:rFonts w:ascii="仿宋_GB2312" w:hAnsi="Calibri" w:eastAsia="仿宋_GB2312" w:cs="Times New Roman"/>
          <w:kern w:val="0"/>
          <w:sz w:val="24"/>
          <w:szCs w:val="20"/>
        </w:rPr>
      </w:pPr>
      <w:r>
        <w:rPr>
          <w:rFonts w:ascii="仿宋_GB2312" w:hAnsi="Calibri" w:eastAsia="仿宋_GB2312" w:cs="Times New Roman"/>
          <w:b/>
          <w:kern w:val="0"/>
          <w:sz w:val="24"/>
          <w:szCs w:val="24"/>
        </w:rPr>
        <w:t>第三条</w:t>
      </w:r>
      <w:r>
        <w:rPr>
          <w:rFonts w:ascii="仿宋_GB2312" w:hAnsi="Calibri" w:eastAsia="仿宋_GB2312" w:cs="Times New Roman"/>
          <w:kern w:val="0"/>
          <w:sz w:val="24"/>
          <w:szCs w:val="20"/>
        </w:rPr>
        <w:t xml:space="preserve"> 积学奖学金经费由国家财政专项拨款和学校自筹经费等共同承担，用于奖励支持表现良好的研究生更好地完成学业。 </w:t>
      </w:r>
    </w:p>
    <w:p>
      <w:pPr>
        <w:autoSpaceDE w:val="0"/>
        <w:autoSpaceDN w:val="0"/>
        <w:spacing w:line="44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b/>
          <w:kern w:val="0"/>
          <w:sz w:val="24"/>
          <w:szCs w:val="24"/>
        </w:rPr>
        <w:t>第四条</w:t>
      </w:r>
      <w:r>
        <w:rPr>
          <w:rFonts w:ascii="仿宋_GB2312" w:hAnsi="Calibri" w:eastAsia="仿宋_GB2312" w:cs="Times New Roman"/>
          <w:kern w:val="0"/>
          <w:sz w:val="24"/>
          <w:szCs w:val="20"/>
        </w:rPr>
        <w:t xml:space="preserve"> 积学奖学金的评审程序和评审原则请参照《陕西师范大学研究生各类奖助学金评选办法》执行。 </w:t>
      </w:r>
    </w:p>
    <w:p>
      <w:pPr>
        <w:autoSpaceDE w:val="0"/>
        <w:autoSpaceDN w:val="0"/>
        <w:spacing w:before="156" w:beforeLines="50" w:after="156" w:afterLines="50" w:line="440" w:lineRule="atLeast"/>
        <w:jc w:val="center"/>
        <w:rPr>
          <w:rFonts w:ascii="仿宋_GB2312" w:hAnsi="Calibri" w:eastAsia="仿宋_GB2312" w:cs="Times New Roman"/>
          <w:b/>
          <w:kern w:val="0"/>
          <w:sz w:val="24"/>
          <w:szCs w:val="20"/>
        </w:rPr>
      </w:pPr>
      <w:r>
        <w:rPr>
          <w:rFonts w:ascii="仿宋_GB2312" w:hAnsi="Calibri" w:eastAsia="仿宋_GB2312" w:cs="Times New Roman"/>
          <w:b/>
          <w:kern w:val="0"/>
          <w:sz w:val="24"/>
          <w:szCs w:val="20"/>
        </w:rPr>
        <w:t xml:space="preserve">第二章 申请基本条件 </w:t>
      </w:r>
    </w:p>
    <w:p>
      <w:pPr>
        <w:autoSpaceDE w:val="0"/>
        <w:autoSpaceDN w:val="0"/>
        <w:spacing w:line="44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b/>
          <w:kern w:val="0"/>
          <w:sz w:val="24"/>
          <w:szCs w:val="24"/>
        </w:rPr>
        <w:t>第五条</w:t>
      </w:r>
      <w:r>
        <w:rPr>
          <w:rFonts w:ascii="仿宋_GB2312" w:hAnsi="Calibri" w:eastAsia="仿宋_GB2312" w:cs="Times New Roman"/>
          <w:kern w:val="0"/>
          <w:sz w:val="24"/>
          <w:szCs w:val="20"/>
        </w:rPr>
        <w:t xml:space="preserve"> 研究生积学奖学金申请基本条件： </w:t>
      </w:r>
    </w:p>
    <w:p>
      <w:pPr>
        <w:autoSpaceDE w:val="0"/>
        <w:autoSpaceDN w:val="0"/>
        <w:spacing w:line="44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kern w:val="0"/>
          <w:sz w:val="24"/>
          <w:szCs w:val="20"/>
        </w:rPr>
        <w:t xml:space="preserve">1.热爱社会主义祖国，拥护中国共产党的领导； </w:t>
      </w:r>
    </w:p>
    <w:p>
      <w:pPr>
        <w:autoSpaceDE w:val="0"/>
        <w:autoSpaceDN w:val="0"/>
        <w:spacing w:line="44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kern w:val="0"/>
          <w:sz w:val="24"/>
          <w:szCs w:val="20"/>
        </w:rPr>
        <w:t xml:space="preserve">2.遵守国家法律法规和学校规章制度； </w:t>
      </w:r>
    </w:p>
    <w:p>
      <w:pPr>
        <w:autoSpaceDE w:val="0"/>
        <w:autoSpaceDN w:val="0"/>
        <w:spacing w:line="44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kern w:val="0"/>
          <w:sz w:val="24"/>
          <w:szCs w:val="20"/>
        </w:rPr>
        <w:t xml:space="preserve">3.学习态度端正，努力掌握专业知识，学习成绩优良； </w:t>
      </w:r>
    </w:p>
    <w:p>
      <w:pPr>
        <w:autoSpaceDE w:val="0"/>
        <w:autoSpaceDN w:val="0"/>
        <w:spacing w:line="44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kern w:val="0"/>
          <w:sz w:val="24"/>
          <w:szCs w:val="20"/>
        </w:rPr>
        <w:t xml:space="preserve">4.具有较好的科研能力，所取得的科研成果须符合学术道德规范； </w:t>
      </w:r>
    </w:p>
    <w:p>
      <w:pPr>
        <w:autoSpaceDE w:val="0"/>
        <w:autoSpaceDN w:val="0"/>
        <w:spacing w:line="440" w:lineRule="atLeast"/>
        <w:ind w:right="113" w:firstLine="480" w:firstLineChars="200"/>
        <w:jc w:val="left"/>
        <w:rPr>
          <w:rFonts w:ascii="仿宋_GB2312" w:hAnsi="Calibri" w:eastAsia="仿宋_GB2312" w:cs="Times New Roman"/>
          <w:kern w:val="0"/>
          <w:sz w:val="24"/>
          <w:szCs w:val="20"/>
        </w:rPr>
      </w:pPr>
      <w:r>
        <w:rPr>
          <w:rFonts w:ascii="仿宋_GB2312" w:hAnsi="Calibri" w:eastAsia="仿宋_GB2312" w:cs="Times New Roman"/>
          <w:kern w:val="0"/>
          <w:sz w:val="24"/>
          <w:szCs w:val="20"/>
        </w:rPr>
        <w:t xml:space="preserve">5.按学校规定时间进行报到和注册，在规定的学制内的学术型和专业型硕士研究生和博士研究生。 </w:t>
      </w:r>
    </w:p>
    <w:p>
      <w:pPr>
        <w:autoSpaceDE w:val="0"/>
        <w:autoSpaceDN w:val="0"/>
        <w:spacing w:before="156" w:beforeLines="50" w:after="156" w:afterLines="50" w:line="440" w:lineRule="atLeast"/>
        <w:jc w:val="center"/>
        <w:rPr>
          <w:rFonts w:ascii="仿宋_GB2312" w:hAnsi="Calibri" w:eastAsia="仿宋_GB2312" w:cs="Times New Roman"/>
          <w:b/>
          <w:kern w:val="0"/>
          <w:sz w:val="24"/>
          <w:szCs w:val="20"/>
        </w:rPr>
      </w:pPr>
    </w:p>
    <w:p>
      <w:pPr>
        <w:autoSpaceDE w:val="0"/>
        <w:autoSpaceDN w:val="0"/>
        <w:spacing w:before="156" w:beforeLines="50" w:after="156" w:afterLines="50" w:line="440" w:lineRule="atLeast"/>
        <w:jc w:val="center"/>
        <w:rPr>
          <w:rFonts w:ascii="仿宋_GB2312" w:hAnsi="Calibri" w:eastAsia="仿宋_GB2312" w:cs="Times New Roman"/>
          <w:b/>
          <w:kern w:val="0"/>
          <w:sz w:val="24"/>
          <w:szCs w:val="20"/>
        </w:rPr>
      </w:pPr>
      <w:r>
        <w:rPr>
          <w:rFonts w:ascii="仿宋_GB2312" w:hAnsi="Calibri" w:eastAsia="仿宋_GB2312" w:cs="Times New Roman"/>
          <w:b/>
          <w:kern w:val="0"/>
          <w:sz w:val="24"/>
          <w:szCs w:val="20"/>
        </w:rPr>
        <w:t xml:space="preserve">第三章 奖学金标准 </w:t>
      </w:r>
    </w:p>
    <w:p>
      <w:pPr>
        <w:autoSpaceDE w:val="0"/>
        <w:autoSpaceDN w:val="0"/>
        <w:spacing w:line="44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b/>
          <w:kern w:val="0"/>
          <w:sz w:val="24"/>
          <w:szCs w:val="24"/>
        </w:rPr>
        <w:t>第六条</w:t>
      </w:r>
      <w:r>
        <w:rPr>
          <w:rFonts w:hint="eastAsia" w:ascii="仿宋_GB2312" w:hAnsi="Calibri" w:eastAsia="仿宋_GB2312" w:cs="Times New Roman"/>
          <w:b/>
          <w:kern w:val="0"/>
          <w:sz w:val="24"/>
          <w:szCs w:val="24"/>
        </w:rPr>
        <w:t xml:space="preserve"> </w:t>
      </w:r>
      <w:r>
        <w:rPr>
          <w:rFonts w:ascii="仿宋_GB2312" w:hAnsi="Calibri" w:eastAsia="仿宋_GB2312" w:cs="Times New Roman"/>
          <w:kern w:val="0"/>
          <w:sz w:val="24"/>
          <w:szCs w:val="20"/>
        </w:rPr>
        <w:t xml:space="preserve">研究生积学奖学金基本标准为： </w:t>
      </w:r>
    </w:p>
    <w:p>
      <w:pPr>
        <w:autoSpaceDE w:val="0"/>
        <w:autoSpaceDN w:val="0"/>
        <w:adjustRightInd w:val="0"/>
        <w:jc w:val="left"/>
        <w:rPr>
          <w:rFonts w:ascii="黑体" w:hAnsi="Times New Roman" w:eastAsia="黑体" w:cs="黑体"/>
          <w:kern w:val="0"/>
          <w:sz w:val="24"/>
          <w:szCs w:val="24"/>
        </w:rPr>
      </w:pPr>
    </w:p>
    <w:p>
      <w:pPr>
        <w:autoSpaceDE w:val="0"/>
        <w:autoSpaceDN w:val="0"/>
        <w:adjustRightInd w:val="0"/>
        <w:jc w:val="left"/>
        <w:rPr>
          <w:rFonts w:ascii="黑体" w:hAnsi="Times New Roman" w:eastAsia="黑体" w:cs="黑体"/>
          <w:kern w:val="0"/>
          <w:sz w:val="24"/>
          <w:szCs w:val="24"/>
        </w:rPr>
      </w:pPr>
    </w:p>
    <w:p>
      <w:pPr>
        <w:autoSpaceDE w:val="0"/>
        <w:autoSpaceDN w:val="0"/>
        <w:adjustRightInd w:val="0"/>
        <w:jc w:val="left"/>
        <w:rPr>
          <w:rFonts w:ascii="黑体" w:hAnsi="Times New Roman" w:eastAsia="黑体" w:cs="黑体"/>
          <w:kern w:val="0"/>
          <w:sz w:val="24"/>
          <w:szCs w:val="24"/>
        </w:rPr>
      </w:pPr>
    </w:p>
    <w:p>
      <w:pPr>
        <w:autoSpaceDE w:val="0"/>
        <w:autoSpaceDN w:val="0"/>
        <w:adjustRightInd w:val="0"/>
        <w:jc w:val="left"/>
        <w:rPr>
          <w:rFonts w:ascii="黑体" w:hAnsi="Times New Roman" w:eastAsia="黑体" w:cs="黑体"/>
          <w:kern w:val="0"/>
          <w:sz w:val="24"/>
          <w:szCs w:val="24"/>
        </w:rPr>
      </w:pPr>
    </w:p>
    <w:tbl>
      <w:tblPr>
        <w:tblStyle w:val="4"/>
        <w:tblW w:w="0" w:type="auto"/>
        <w:jc w:val="center"/>
        <w:tblLayout w:type="fixed"/>
        <w:tblCellMar>
          <w:top w:w="0" w:type="dxa"/>
          <w:left w:w="108" w:type="dxa"/>
          <w:bottom w:w="0" w:type="dxa"/>
          <w:right w:w="108" w:type="dxa"/>
        </w:tblCellMar>
      </w:tblPr>
      <w:tblGrid>
        <w:gridCol w:w="1680"/>
        <w:gridCol w:w="1485"/>
        <w:gridCol w:w="1425"/>
        <w:gridCol w:w="2618"/>
      </w:tblGrid>
      <w:tr>
        <w:tblPrEx>
          <w:tblCellMar>
            <w:top w:w="0" w:type="dxa"/>
            <w:left w:w="108" w:type="dxa"/>
            <w:bottom w:w="0" w:type="dxa"/>
            <w:right w:w="108" w:type="dxa"/>
          </w:tblCellMar>
        </w:tblPrEx>
        <w:trPr>
          <w:trHeight w:val="510" w:hRule="atLeast"/>
          <w:jc w:val="center"/>
        </w:trPr>
        <w:tc>
          <w:tcPr>
            <w:tcW w:w="16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学生类别</w:t>
            </w:r>
          </w:p>
        </w:tc>
        <w:tc>
          <w:tcPr>
            <w:tcW w:w="14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等 级</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比 例</w:t>
            </w:r>
          </w:p>
        </w:tc>
        <w:tc>
          <w:tcPr>
            <w:tcW w:w="26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基本标准（每生每年）</w:t>
            </w:r>
          </w:p>
        </w:tc>
      </w:tr>
      <w:tr>
        <w:tblPrEx>
          <w:tblCellMar>
            <w:top w:w="0" w:type="dxa"/>
            <w:left w:w="108" w:type="dxa"/>
            <w:bottom w:w="0" w:type="dxa"/>
            <w:right w:w="108" w:type="dxa"/>
          </w:tblCellMar>
        </w:tblPrEx>
        <w:trPr>
          <w:trHeight w:val="500" w:hRule="atLeast"/>
          <w:jc w:val="center"/>
        </w:trPr>
        <w:tc>
          <w:tcPr>
            <w:tcW w:w="1680" w:type="dxa"/>
            <w:tcBorders>
              <w:top w:val="single" w:color="000000" w:sz="4" w:space="0"/>
              <w:left w:val="single" w:color="000000" w:sz="4" w:space="0"/>
              <w:right w:val="single" w:color="000000" w:sz="4" w:space="0"/>
            </w:tcBorders>
            <w:vAlign w:val="center"/>
          </w:tcPr>
          <w:p>
            <w:pPr>
              <w:autoSpaceDE w:val="0"/>
              <w:autoSpaceDN w:val="0"/>
              <w:adjustRightInd w:val="0"/>
              <w:jc w:val="center"/>
              <w:rPr>
                <w:rFonts w:ascii="黑体" w:hAnsi="Times New Roman" w:eastAsia="黑体" w:cs="黑体"/>
                <w:kern w:val="0"/>
                <w:sz w:val="24"/>
                <w:szCs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一等</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15%</w:t>
            </w:r>
          </w:p>
        </w:tc>
        <w:tc>
          <w:tcPr>
            <w:tcW w:w="26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1.8 万元</w:t>
            </w:r>
          </w:p>
        </w:tc>
      </w:tr>
      <w:tr>
        <w:tblPrEx>
          <w:tblCellMar>
            <w:top w:w="0" w:type="dxa"/>
            <w:left w:w="108" w:type="dxa"/>
            <w:bottom w:w="0" w:type="dxa"/>
            <w:right w:w="108" w:type="dxa"/>
          </w:tblCellMar>
        </w:tblPrEx>
        <w:trPr>
          <w:trHeight w:val="498" w:hRule="atLeast"/>
          <w:jc w:val="center"/>
        </w:trPr>
        <w:tc>
          <w:tcPr>
            <w:tcW w:w="1680" w:type="dxa"/>
            <w:vMerge w:val="restart"/>
            <w:tcBorders>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博士研究生</w:t>
            </w:r>
          </w:p>
        </w:tc>
        <w:tc>
          <w:tcPr>
            <w:tcW w:w="14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二等</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25%</w:t>
            </w:r>
          </w:p>
        </w:tc>
        <w:tc>
          <w:tcPr>
            <w:tcW w:w="26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1.2 万元</w:t>
            </w:r>
          </w:p>
        </w:tc>
      </w:tr>
      <w:tr>
        <w:tblPrEx>
          <w:tblCellMar>
            <w:top w:w="0" w:type="dxa"/>
            <w:left w:w="108" w:type="dxa"/>
            <w:bottom w:w="0" w:type="dxa"/>
            <w:right w:w="108" w:type="dxa"/>
          </w:tblCellMar>
        </w:tblPrEx>
        <w:trPr>
          <w:trHeight w:val="500" w:hRule="atLeast"/>
          <w:jc w:val="center"/>
        </w:trPr>
        <w:tc>
          <w:tcPr>
            <w:tcW w:w="1680" w:type="dxa"/>
            <w:vMerge w:val="continue"/>
            <w:tcBorders>
              <w:left w:val="single" w:color="000000" w:sz="4" w:space="0"/>
              <w:bottom w:val="single" w:color="000000" w:sz="4" w:space="0"/>
              <w:right w:val="single" w:color="000000" w:sz="4" w:space="0"/>
            </w:tcBorders>
            <w:vAlign w:val="center"/>
          </w:tcPr>
          <w:p>
            <w:pPr>
              <w:autoSpaceDE w:val="0"/>
              <w:autoSpaceDN w:val="0"/>
              <w:adjustRightInd w:val="0"/>
              <w:jc w:val="center"/>
              <w:rPr>
                <w:rFonts w:ascii="黑体" w:hAnsi="Times New Roman" w:eastAsia="黑体" w:cs="黑体"/>
                <w:kern w:val="0"/>
                <w:sz w:val="24"/>
                <w:szCs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三等</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35%</w:t>
            </w:r>
          </w:p>
        </w:tc>
        <w:tc>
          <w:tcPr>
            <w:tcW w:w="26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0.8 万元</w:t>
            </w:r>
          </w:p>
        </w:tc>
      </w:tr>
      <w:tr>
        <w:tblPrEx>
          <w:tblCellMar>
            <w:top w:w="0" w:type="dxa"/>
            <w:left w:w="108" w:type="dxa"/>
            <w:bottom w:w="0" w:type="dxa"/>
            <w:right w:w="108" w:type="dxa"/>
          </w:tblCellMar>
        </w:tblPrEx>
        <w:trPr>
          <w:trHeight w:val="498" w:hRule="atLeast"/>
          <w:jc w:val="center"/>
        </w:trPr>
        <w:tc>
          <w:tcPr>
            <w:tcW w:w="1680" w:type="dxa"/>
            <w:tcBorders>
              <w:top w:val="single" w:color="000000" w:sz="4" w:space="0"/>
              <w:left w:val="single" w:color="000000" w:sz="4" w:space="0"/>
              <w:right w:val="single" w:color="000000" w:sz="4" w:space="0"/>
            </w:tcBorders>
            <w:vAlign w:val="center"/>
          </w:tcPr>
          <w:p>
            <w:pPr>
              <w:autoSpaceDE w:val="0"/>
              <w:autoSpaceDN w:val="0"/>
              <w:adjustRightInd w:val="0"/>
              <w:jc w:val="center"/>
              <w:rPr>
                <w:rFonts w:ascii="黑体" w:hAnsi="Times New Roman" w:eastAsia="黑体" w:cs="黑体"/>
                <w:kern w:val="0"/>
                <w:sz w:val="24"/>
                <w:szCs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一等</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10%</w:t>
            </w:r>
          </w:p>
        </w:tc>
        <w:tc>
          <w:tcPr>
            <w:tcW w:w="26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1.2 万元</w:t>
            </w:r>
          </w:p>
        </w:tc>
      </w:tr>
      <w:tr>
        <w:tblPrEx>
          <w:tblCellMar>
            <w:top w:w="0" w:type="dxa"/>
            <w:left w:w="108" w:type="dxa"/>
            <w:bottom w:w="0" w:type="dxa"/>
            <w:right w:w="108" w:type="dxa"/>
          </w:tblCellMar>
        </w:tblPrEx>
        <w:trPr>
          <w:trHeight w:val="500" w:hRule="atLeast"/>
          <w:jc w:val="center"/>
        </w:trPr>
        <w:tc>
          <w:tcPr>
            <w:tcW w:w="1680" w:type="dxa"/>
            <w:vMerge w:val="restart"/>
            <w:tcBorders>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硕士研究生</w:t>
            </w:r>
          </w:p>
        </w:tc>
        <w:tc>
          <w:tcPr>
            <w:tcW w:w="14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二等</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15%</w:t>
            </w:r>
          </w:p>
        </w:tc>
        <w:tc>
          <w:tcPr>
            <w:tcW w:w="26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0.9 万元</w:t>
            </w:r>
          </w:p>
        </w:tc>
      </w:tr>
      <w:tr>
        <w:tblPrEx>
          <w:tblCellMar>
            <w:top w:w="0" w:type="dxa"/>
            <w:left w:w="108" w:type="dxa"/>
            <w:bottom w:w="0" w:type="dxa"/>
            <w:right w:w="108" w:type="dxa"/>
          </w:tblCellMar>
        </w:tblPrEx>
        <w:trPr>
          <w:trHeight w:val="510" w:hRule="atLeast"/>
          <w:jc w:val="center"/>
        </w:trPr>
        <w:tc>
          <w:tcPr>
            <w:tcW w:w="1680" w:type="dxa"/>
            <w:vMerge w:val="continue"/>
            <w:tcBorders>
              <w:left w:val="single" w:color="000000" w:sz="4" w:space="0"/>
              <w:bottom w:val="single" w:color="000000" w:sz="4" w:space="0"/>
              <w:right w:val="single" w:color="000000" w:sz="4" w:space="0"/>
            </w:tcBorders>
            <w:vAlign w:val="center"/>
          </w:tcPr>
          <w:p>
            <w:pPr>
              <w:autoSpaceDE w:val="0"/>
              <w:autoSpaceDN w:val="0"/>
              <w:adjustRightInd w:val="0"/>
              <w:jc w:val="center"/>
              <w:rPr>
                <w:rFonts w:ascii="黑体" w:hAnsi="Times New Roman" w:eastAsia="黑体" w:cs="黑体"/>
                <w:kern w:val="0"/>
                <w:sz w:val="24"/>
                <w:szCs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三等</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25%</w:t>
            </w:r>
          </w:p>
        </w:tc>
        <w:tc>
          <w:tcPr>
            <w:tcW w:w="26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Times New Roman" w:eastAsia="仿宋_GB2312" w:cs="黑体"/>
                <w:kern w:val="0"/>
                <w:szCs w:val="24"/>
              </w:rPr>
            </w:pPr>
            <w:r>
              <w:rPr>
                <w:rFonts w:ascii="仿宋_GB2312" w:hAnsi="Times New Roman" w:eastAsia="仿宋_GB2312" w:cs="黑体"/>
                <w:kern w:val="0"/>
                <w:szCs w:val="24"/>
              </w:rPr>
              <w:t>0.7 万元</w:t>
            </w:r>
          </w:p>
        </w:tc>
      </w:tr>
    </w:tbl>
    <w:p>
      <w:pPr>
        <w:autoSpaceDE w:val="0"/>
        <w:autoSpaceDN w:val="0"/>
        <w:adjustRightInd w:val="0"/>
        <w:spacing w:line="400" w:lineRule="atLeast"/>
        <w:jc w:val="left"/>
        <w:rPr>
          <w:rFonts w:ascii="黑体" w:hAnsi="Times New Roman" w:eastAsia="黑体" w:cs="黑体"/>
          <w:kern w:val="0"/>
          <w:sz w:val="24"/>
          <w:szCs w:val="24"/>
        </w:rPr>
      </w:pPr>
    </w:p>
    <w:p>
      <w:pPr>
        <w:autoSpaceDE w:val="0"/>
        <w:autoSpaceDN w:val="0"/>
        <w:spacing w:before="156" w:beforeLines="50" w:after="156" w:afterLines="50" w:line="420" w:lineRule="atLeast"/>
        <w:jc w:val="center"/>
        <w:rPr>
          <w:rFonts w:ascii="仿宋_GB2312" w:hAnsi="Calibri" w:eastAsia="仿宋_GB2312" w:cs="Times New Roman"/>
          <w:b/>
          <w:kern w:val="0"/>
          <w:sz w:val="24"/>
          <w:szCs w:val="20"/>
        </w:rPr>
      </w:pPr>
      <w:r>
        <w:rPr>
          <w:rFonts w:ascii="仿宋_GB2312" w:hAnsi="Calibri" w:eastAsia="仿宋_GB2312" w:cs="Times New Roman"/>
          <w:b/>
          <w:kern w:val="0"/>
          <w:sz w:val="24"/>
          <w:szCs w:val="20"/>
        </w:rPr>
        <w:t xml:space="preserve">第四章 </w:t>
      </w:r>
      <w:r>
        <w:rPr>
          <w:rFonts w:hint="eastAsia" w:ascii="仿宋_GB2312" w:hAnsi="Calibri" w:eastAsia="仿宋_GB2312" w:cs="Times New Roman"/>
          <w:b/>
          <w:kern w:val="0"/>
          <w:sz w:val="24"/>
          <w:szCs w:val="20"/>
        </w:rPr>
        <w:t>奖学金分配与</w:t>
      </w:r>
      <w:r>
        <w:rPr>
          <w:rFonts w:ascii="仿宋_GB2312" w:hAnsi="Calibri" w:eastAsia="仿宋_GB2312" w:cs="Times New Roman"/>
          <w:b/>
          <w:kern w:val="0"/>
          <w:sz w:val="24"/>
          <w:szCs w:val="20"/>
        </w:rPr>
        <w:t>评定标准</w:t>
      </w:r>
    </w:p>
    <w:p>
      <w:pPr>
        <w:autoSpaceDE w:val="0"/>
        <w:autoSpaceDN w:val="0"/>
        <w:adjustRightInd w:val="0"/>
        <w:spacing w:line="420" w:lineRule="atLeast"/>
        <w:ind w:left="1" w:right="-51" w:firstLine="482" w:firstLineChars="200"/>
        <w:jc w:val="left"/>
        <w:rPr>
          <w:rFonts w:ascii="仿宋_GB2312" w:hAnsi="Times New Roman" w:eastAsia="仿宋_GB2312" w:cs="黑体"/>
          <w:kern w:val="0"/>
          <w:sz w:val="24"/>
          <w:szCs w:val="24"/>
        </w:rPr>
      </w:pPr>
      <w:r>
        <w:rPr>
          <w:rFonts w:ascii="仿宋_GB2312" w:hAnsi="Calibri" w:eastAsia="仿宋_GB2312" w:cs="Times New Roman"/>
          <w:b/>
          <w:kern w:val="0"/>
          <w:sz w:val="24"/>
          <w:szCs w:val="24"/>
        </w:rPr>
        <w:t>第</w:t>
      </w:r>
      <w:r>
        <w:rPr>
          <w:rFonts w:hint="eastAsia" w:ascii="仿宋_GB2312" w:hAnsi="Calibri" w:eastAsia="仿宋_GB2312" w:cs="Times New Roman"/>
          <w:b/>
          <w:kern w:val="0"/>
          <w:sz w:val="24"/>
          <w:szCs w:val="24"/>
        </w:rPr>
        <w:t>七</w:t>
      </w:r>
      <w:r>
        <w:rPr>
          <w:rFonts w:ascii="仿宋_GB2312" w:hAnsi="Calibri" w:eastAsia="仿宋_GB2312" w:cs="Times New Roman"/>
          <w:b/>
          <w:kern w:val="0"/>
          <w:sz w:val="24"/>
          <w:szCs w:val="24"/>
        </w:rPr>
        <w:t>条</w:t>
      </w:r>
      <w:r>
        <w:rPr>
          <w:rFonts w:ascii="仿宋_GB2312" w:hAnsi="Times New Roman" w:eastAsia="仿宋_GB2312" w:cs="黑体"/>
          <w:kern w:val="0"/>
          <w:sz w:val="24"/>
          <w:szCs w:val="24"/>
        </w:rPr>
        <w:t xml:space="preserve"> 各培养单位应根据学院实际情况制定研究生积学奖学金评奖细则。应对学术型和专业学位研究生建立不同的评定考核体系，研究生积学奖学金评定依据因研究生年级和类别而不同。</w:t>
      </w:r>
    </w:p>
    <w:p>
      <w:pPr>
        <w:autoSpaceDE w:val="0"/>
        <w:autoSpaceDN w:val="0"/>
        <w:adjustRightInd w:val="0"/>
        <w:spacing w:line="420" w:lineRule="atLeast"/>
        <w:ind w:left="1" w:right="-51" w:firstLine="482" w:firstLineChars="200"/>
        <w:jc w:val="left"/>
        <w:rPr>
          <w:rFonts w:ascii="仿宋_GB2312" w:hAnsi="Times New Roman" w:eastAsia="仿宋_GB2312" w:cs="黑体"/>
          <w:kern w:val="0"/>
          <w:sz w:val="24"/>
          <w:szCs w:val="24"/>
        </w:rPr>
      </w:pPr>
      <w:r>
        <w:rPr>
          <w:rFonts w:ascii="仿宋_GB2312" w:hAnsi="Calibri" w:eastAsia="仿宋_GB2312" w:cs="Times New Roman"/>
          <w:b/>
          <w:kern w:val="0"/>
          <w:sz w:val="24"/>
          <w:szCs w:val="24"/>
        </w:rPr>
        <w:t>第</w:t>
      </w:r>
      <w:r>
        <w:rPr>
          <w:rFonts w:hint="eastAsia" w:ascii="仿宋_GB2312" w:hAnsi="Calibri" w:eastAsia="仿宋_GB2312" w:cs="Times New Roman"/>
          <w:b/>
          <w:kern w:val="0"/>
          <w:sz w:val="24"/>
          <w:szCs w:val="24"/>
        </w:rPr>
        <w:t>八</w:t>
      </w:r>
      <w:r>
        <w:rPr>
          <w:rFonts w:ascii="仿宋_GB2312" w:hAnsi="Calibri" w:eastAsia="仿宋_GB2312" w:cs="Times New Roman"/>
          <w:b/>
          <w:kern w:val="0"/>
          <w:sz w:val="24"/>
          <w:szCs w:val="24"/>
        </w:rPr>
        <w:t>条</w:t>
      </w:r>
      <w:r>
        <w:rPr>
          <w:rFonts w:hint="eastAsia" w:ascii="仿宋_GB2312" w:hAnsi="Times New Roman" w:eastAsia="仿宋_GB2312" w:cs="黑体"/>
          <w:kern w:val="0"/>
          <w:sz w:val="24"/>
          <w:szCs w:val="24"/>
        </w:rPr>
        <w:t xml:space="preserve"> 积学</w:t>
      </w:r>
      <w:r>
        <w:rPr>
          <w:rFonts w:ascii="仿宋_GB2312" w:hAnsi="Times New Roman" w:eastAsia="仿宋_GB2312" w:cs="黑体"/>
          <w:kern w:val="0"/>
          <w:sz w:val="24"/>
          <w:szCs w:val="24"/>
        </w:rPr>
        <w:t>奖学金</w:t>
      </w:r>
      <w:r>
        <w:rPr>
          <w:rFonts w:hint="eastAsia" w:ascii="仿宋_GB2312" w:hAnsi="Times New Roman" w:eastAsia="仿宋_GB2312" w:cs="黑体"/>
          <w:kern w:val="0"/>
          <w:sz w:val="24"/>
          <w:szCs w:val="24"/>
        </w:rPr>
        <w:t>根据各培养单位实际</w:t>
      </w:r>
      <w:r>
        <w:rPr>
          <w:rFonts w:ascii="仿宋_GB2312" w:hAnsi="Times New Roman" w:eastAsia="仿宋_GB2312" w:cs="黑体"/>
          <w:kern w:val="0"/>
          <w:sz w:val="24"/>
          <w:szCs w:val="24"/>
        </w:rPr>
        <w:t>，</w:t>
      </w:r>
      <w:r>
        <w:rPr>
          <w:rFonts w:hint="eastAsia" w:ascii="仿宋_GB2312" w:hAnsi="Times New Roman" w:eastAsia="仿宋_GB2312" w:cs="黑体"/>
          <w:kern w:val="0"/>
          <w:sz w:val="24"/>
          <w:szCs w:val="24"/>
        </w:rPr>
        <w:t>按照上述</w:t>
      </w:r>
      <w:r>
        <w:rPr>
          <w:rFonts w:ascii="仿宋_GB2312" w:hAnsi="Times New Roman" w:eastAsia="仿宋_GB2312" w:cs="黑体"/>
          <w:kern w:val="0"/>
          <w:sz w:val="24"/>
          <w:szCs w:val="24"/>
        </w:rPr>
        <w:t>基本标准</w:t>
      </w:r>
      <w:r>
        <w:rPr>
          <w:rFonts w:hint="eastAsia" w:ascii="仿宋_GB2312" w:hAnsi="Times New Roman" w:eastAsia="仿宋_GB2312" w:cs="黑体"/>
          <w:kern w:val="0"/>
          <w:sz w:val="24"/>
          <w:szCs w:val="24"/>
        </w:rPr>
        <w:t>及研究生参评人数的一定比例，将</w:t>
      </w:r>
      <w:r>
        <w:rPr>
          <w:rFonts w:ascii="仿宋_GB2312" w:hAnsi="Times New Roman" w:eastAsia="仿宋_GB2312" w:cs="黑体"/>
          <w:kern w:val="0"/>
          <w:sz w:val="24"/>
          <w:szCs w:val="24"/>
        </w:rPr>
        <w:t>总额</w:t>
      </w:r>
      <w:r>
        <w:rPr>
          <w:rFonts w:hint="eastAsia" w:ascii="仿宋_GB2312" w:hAnsi="Times New Roman" w:eastAsia="仿宋_GB2312" w:cs="黑体"/>
          <w:kern w:val="0"/>
          <w:sz w:val="24"/>
          <w:szCs w:val="24"/>
        </w:rPr>
        <w:t>划拨</w:t>
      </w:r>
      <w:r>
        <w:rPr>
          <w:rFonts w:ascii="仿宋_GB2312" w:hAnsi="Times New Roman" w:eastAsia="仿宋_GB2312" w:cs="黑体"/>
          <w:kern w:val="0"/>
          <w:sz w:val="24"/>
          <w:szCs w:val="24"/>
        </w:rPr>
        <w:t>至各</w:t>
      </w:r>
      <w:r>
        <w:rPr>
          <w:rFonts w:hint="eastAsia" w:ascii="仿宋_GB2312" w:hAnsi="Times New Roman" w:eastAsia="仿宋_GB2312" w:cs="黑体"/>
          <w:kern w:val="0"/>
          <w:sz w:val="24"/>
          <w:szCs w:val="24"/>
        </w:rPr>
        <w:t>单位</w:t>
      </w:r>
      <w:r>
        <w:rPr>
          <w:rFonts w:ascii="仿宋_GB2312" w:hAnsi="Times New Roman" w:eastAsia="仿宋_GB2312" w:cs="黑体"/>
          <w:kern w:val="0"/>
          <w:sz w:val="24"/>
          <w:szCs w:val="24"/>
        </w:rPr>
        <w:t>，</w:t>
      </w:r>
      <w:r>
        <w:rPr>
          <w:rFonts w:hint="eastAsia" w:ascii="仿宋_GB2312" w:hAnsi="Times New Roman" w:eastAsia="仿宋_GB2312" w:cs="黑体"/>
          <w:kern w:val="0"/>
          <w:sz w:val="24"/>
          <w:szCs w:val="24"/>
        </w:rPr>
        <w:t>划拨经费须全额用于研究生积学奖学金。同时，鼓励各单位自筹经费作为补充。</w:t>
      </w:r>
    </w:p>
    <w:p>
      <w:pPr>
        <w:autoSpaceDE w:val="0"/>
        <w:autoSpaceDN w:val="0"/>
        <w:adjustRightInd w:val="0"/>
        <w:spacing w:line="420" w:lineRule="atLeast"/>
        <w:ind w:left="1" w:right="-51" w:firstLine="482" w:firstLineChars="200"/>
        <w:jc w:val="left"/>
        <w:rPr>
          <w:rFonts w:ascii="仿宋_GB2312" w:hAnsi="Calibri" w:eastAsia="仿宋_GB2312" w:cs="Times New Roman"/>
          <w:kern w:val="0"/>
          <w:sz w:val="24"/>
          <w:szCs w:val="20"/>
        </w:rPr>
      </w:pPr>
      <w:r>
        <w:rPr>
          <w:rFonts w:ascii="仿宋_GB2312" w:hAnsi="Calibri" w:eastAsia="仿宋_GB2312" w:cs="Times New Roman"/>
          <w:b/>
          <w:kern w:val="0"/>
          <w:sz w:val="24"/>
          <w:szCs w:val="24"/>
        </w:rPr>
        <w:t>第</w:t>
      </w:r>
      <w:r>
        <w:rPr>
          <w:rFonts w:hint="eastAsia" w:ascii="仿宋_GB2312" w:hAnsi="Calibri" w:eastAsia="仿宋_GB2312" w:cs="Times New Roman"/>
          <w:b/>
          <w:kern w:val="0"/>
          <w:sz w:val="24"/>
          <w:szCs w:val="24"/>
        </w:rPr>
        <w:t>九</w:t>
      </w:r>
      <w:r>
        <w:rPr>
          <w:rFonts w:ascii="仿宋_GB2312" w:hAnsi="Calibri" w:eastAsia="仿宋_GB2312" w:cs="Times New Roman"/>
          <w:b/>
          <w:kern w:val="0"/>
          <w:sz w:val="24"/>
          <w:szCs w:val="24"/>
        </w:rPr>
        <w:t>条</w:t>
      </w:r>
      <w:r>
        <w:rPr>
          <w:rFonts w:hint="eastAsia" w:ascii="仿宋_GB2312" w:hAnsi="Calibri" w:eastAsia="仿宋_GB2312" w:cs="Times New Roman"/>
          <w:b/>
          <w:kern w:val="0"/>
          <w:sz w:val="24"/>
          <w:szCs w:val="24"/>
        </w:rPr>
        <w:t xml:space="preserve"> </w:t>
      </w:r>
      <w:r>
        <w:rPr>
          <w:rFonts w:hint="eastAsia" w:ascii="仿宋_GB2312" w:hAnsi="Calibri" w:eastAsia="仿宋_GB2312" w:cs="Times New Roman"/>
          <w:kern w:val="0"/>
          <w:sz w:val="24"/>
          <w:szCs w:val="24"/>
        </w:rPr>
        <w:t>各单位依据划拨经费和自筹经费，根据研究生学业成绩、科研成果、社会服务以及家庭经济状况等因素，自行制定研究生积学奖学金的奖励</w:t>
      </w:r>
      <w:r>
        <w:rPr>
          <w:rFonts w:ascii="仿宋_GB2312" w:hAnsi="Calibri" w:eastAsia="仿宋_GB2312" w:cs="Times New Roman"/>
          <w:kern w:val="0"/>
          <w:sz w:val="24"/>
          <w:szCs w:val="24"/>
        </w:rPr>
        <w:t>等级</w:t>
      </w:r>
      <w:r>
        <w:rPr>
          <w:rFonts w:hint="eastAsia" w:ascii="仿宋_GB2312" w:hAnsi="Calibri" w:eastAsia="仿宋_GB2312" w:cs="Times New Roman"/>
          <w:kern w:val="0"/>
          <w:sz w:val="24"/>
          <w:szCs w:val="24"/>
        </w:rPr>
        <w:t>、</w:t>
      </w:r>
      <w:r>
        <w:rPr>
          <w:rFonts w:ascii="仿宋_GB2312" w:hAnsi="Calibri" w:eastAsia="仿宋_GB2312" w:cs="Times New Roman"/>
          <w:kern w:val="0"/>
          <w:sz w:val="24"/>
          <w:szCs w:val="24"/>
        </w:rPr>
        <w:t>奖励金额</w:t>
      </w:r>
      <w:r>
        <w:rPr>
          <w:rFonts w:hint="eastAsia" w:ascii="仿宋_GB2312" w:hAnsi="Calibri" w:eastAsia="仿宋_GB2312" w:cs="Times New Roman"/>
          <w:kern w:val="0"/>
          <w:sz w:val="24"/>
          <w:szCs w:val="24"/>
        </w:rPr>
        <w:t>，最高档的奖励金额不超过学校一等奖励标准。研究生院（研工部）建议在评选学年已获得研究生国家奖学金的学生其科研成果不再重复使用。</w:t>
      </w:r>
    </w:p>
    <w:p>
      <w:pPr>
        <w:autoSpaceDE w:val="0"/>
        <w:autoSpaceDN w:val="0"/>
        <w:spacing w:line="420" w:lineRule="atLeast"/>
        <w:ind w:firstLine="480"/>
        <w:jc w:val="left"/>
        <w:rPr>
          <w:rFonts w:ascii="仿宋_GB2312" w:hAnsi="Calibri" w:eastAsia="仿宋_GB2312" w:cs="Times New Roman"/>
          <w:kern w:val="0"/>
          <w:sz w:val="24"/>
          <w:szCs w:val="20"/>
        </w:rPr>
      </w:pPr>
      <w:r>
        <w:rPr>
          <w:rFonts w:ascii="仿宋_GB2312" w:hAnsi="Calibri" w:eastAsia="仿宋_GB2312" w:cs="Times New Roman"/>
          <w:b/>
          <w:kern w:val="0"/>
          <w:sz w:val="24"/>
          <w:szCs w:val="24"/>
        </w:rPr>
        <w:t>第十条</w:t>
      </w:r>
      <w:r>
        <w:rPr>
          <w:rFonts w:hint="eastAsia" w:ascii="仿宋_GB2312" w:hAnsi="Calibri" w:eastAsia="仿宋_GB2312" w:cs="Times New Roman"/>
          <w:kern w:val="0"/>
          <w:sz w:val="24"/>
          <w:szCs w:val="20"/>
        </w:rPr>
        <w:t xml:space="preserve"> </w:t>
      </w:r>
      <w:r>
        <w:rPr>
          <w:rFonts w:ascii="仿宋_GB2312" w:hAnsi="Calibri" w:eastAsia="仿宋_GB2312" w:cs="Times New Roman"/>
          <w:kern w:val="0"/>
          <w:sz w:val="24"/>
          <w:szCs w:val="20"/>
        </w:rPr>
        <w:t>学习成绩的评定以上学年学习成绩为主要依据</w:t>
      </w:r>
      <w:r>
        <w:rPr>
          <w:rFonts w:hint="eastAsia" w:ascii="仿宋_GB2312" w:hAnsi="Calibri" w:eastAsia="仿宋_GB2312" w:cs="Times New Roman"/>
          <w:kern w:val="0"/>
          <w:sz w:val="24"/>
          <w:szCs w:val="20"/>
        </w:rPr>
        <w:t>；</w:t>
      </w:r>
      <w:r>
        <w:rPr>
          <w:rFonts w:ascii="仿宋_GB2312" w:hAnsi="Calibri" w:eastAsia="仿宋_GB2312" w:cs="Times New Roman"/>
          <w:kern w:val="0"/>
          <w:sz w:val="24"/>
          <w:szCs w:val="20"/>
        </w:rPr>
        <w:t>科研能力主要从研究生发表论文、出版专著、科研成果获奖、</w:t>
      </w:r>
      <w:r>
        <w:rPr>
          <w:rFonts w:hint="eastAsia" w:ascii="仿宋_GB2312" w:hAnsi="Calibri" w:eastAsia="仿宋_GB2312" w:cs="Times New Roman"/>
          <w:kern w:val="0"/>
          <w:sz w:val="24"/>
          <w:szCs w:val="20"/>
        </w:rPr>
        <w:t>学科竞赛获奖、</w:t>
      </w:r>
      <w:r>
        <w:rPr>
          <w:rFonts w:ascii="仿宋_GB2312" w:hAnsi="Calibri" w:eastAsia="仿宋_GB2312" w:cs="Times New Roman"/>
          <w:kern w:val="0"/>
          <w:sz w:val="24"/>
          <w:szCs w:val="20"/>
        </w:rPr>
        <w:t>发明专利</w:t>
      </w:r>
      <w:r>
        <w:rPr>
          <w:rFonts w:hint="eastAsia" w:ascii="仿宋_GB2312" w:hAnsi="Calibri" w:eastAsia="仿宋_GB2312" w:cs="Times New Roman"/>
          <w:kern w:val="0"/>
          <w:sz w:val="24"/>
          <w:szCs w:val="20"/>
        </w:rPr>
        <w:t>、</w:t>
      </w:r>
      <w:r>
        <w:rPr>
          <w:rFonts w:ascii="仿宋_GB2312" w:hAnsi="Calibri" w:eastAsia="仿宋_GB2312" w:cs="Times New Roman"/>
          <w:kern w:val="0"/>
          <w:sz w:val="24"/>
          <w:szCs w:val="20"/>
        </w:rPr>
        <w:t>主持或参与课题、参加学术会议等方面进行</w:t>
      </w:r>
      <w:r>
        <w:rPr>
          <w:rFonts w:hint="eastAsia" w:ascii="仿宋_GB2312" w:hAnsi="Calibri" w:eastAsia="仿宋_GB2312" w:cs="Times New Roman"/>
          <w:kern w:val="0"/>
          <w:sz w:val="24"/>
          <w:szCs w:val="20"/>
        </w:rPr>
        <w:t>综合</w:t>
      </w:r>
      <w:r>
        <w:rPr>
          <w:rFonts w:ascii="仿宋_GB2312" w:hAnsi="Calibri" w:eastAsia="仿宋_GB2312" w:cs="Times New Roman"/>
          <w:kern w:val="0"/>
          <w:sz w:val="24"/>
          <w:szCs w:val="20"/>
        </w:rPr>
        <w:t>评定</w:t>
      </w:r>
      <w:r>
        <w:rPr>
          <w:rFonts w:hint="eastAsia" w:ascii="仿宋_GB2312" w:hAnsi="Calibri" w:eastAsia="仿宋_GB2312" w:cs="Times New Roman"/>
          <w:kern w:val="0"/>
          <w:sz w:val="24"/>
          <w:szCs w:val="20"/>
        </w:rPr>
        <w:t>；</w:t>
      </w:r>
      <w:r>
        <w:rPr>
          <w:rFonts w:ascii="仿宋_GB2312" w:hAnsi="Calibri" w:eastAsia="仿宋_GB2312" w:cs="Times New Roman"/>
          <w:kern w:val="0"/>
          <w:sz w:val="24"/>
          <w:szCs w:val="20"/>
        </w:rPr>
        <w:t>日常表现考评由学生本人自评、同学互评、导师评价、研究生辅导员评价等方面进行综合评定</w:t>
      </w:r>
      <w:r>
        <w:rPr>
          <w:rFonts w:hint="eastAsia" w:ascii="仿宋_GB2312" w:hAnsi="Calibri" w:eastAsia="仿宋_GB2312" w:cs="Times New Roman"/>
          <w:kern w:val="0"/>
          <w:sz w:val="24"/>
          <w:szCs w:val="20"/>
        </w:rPr>
        <w:t>；</w:t>
      </w:r>
      <w:r>
        <w:rPr>
          <w:rFonts w:ascii="仿宋_GB2312" w:hAnsi="Calibri" w:eastAsia="仿宋_GB2312" w:cs="Times New Roman"/>
          <w:kern w:val="0"/>
          <w:sz w:val="24"/>
          <w:szCs w:val="20"/>
        </w:rPr>
        <w:t>社会服务主要可以从社会</w:t>
      </w:r>
      <w:r>
        <w:rPr>
          <w:rFonts w:hint="eastAsia" w:ascii="仿宋_GB2312" w:hAnsi="Calibri" w:eastAsia="仿宋_GB2312" w:cs="Times New Roman"/>
          <w:kern w:val="0"/>
          <w:sz w:val="24"/>
          <w:szCs w:val="20"/>
        </w:rPr>
        <w:t>实践</w:t>
      </w:r>
      <w:r>
        <w:rPr>
          <w:rFonts w:ascii="仿宋_GB2312" w:hAnsi="Calibri" w:eastAsia="仿宋_GB2312" w:cs="Times New Roman"/>
          <w:kern w:val="0"/>
          <w:sz w:val="24"/>
          <w:szCs w:val="20"/>
        </w:rPr>
        <w:t>、公益活动、学校和学院（中心）组织的其他</w:t>
      </w:r>
      <w:r>
        <w:rPr>
          <w:rFonts w:hint="eastAsia" w:ascii="仿宋_GB2312" w:hAnsi="Calibri" w:eastAsia="仿宋_GB2312" w:cs="Times New Roman"/>
          <w:kern w:val="0"/>
          <w:sz w:val="24"/>
          <w:szCs w:val="20"/>
        </w:rPr>
        <w:t>集体</w:t>
      </w:r>
      <w:r>
        <w:rPr>
          <w:rFonts w:ascii="仿宋_GB2312" w:hAnsi="Calibri" w:eastAsia="仿宋_GB2312" w:cs="Times New Roman"/>
          <w:kern w:val="0"/>
          <w:sz w:val="24"/>
          <w:szCs w:val="20"/>
        </w:rPr>
        <w:t>活动等方面进行</w:t>
      </w:r>
      <w:r>
        <w:rPr>
          <w:rFonts w:hint="eastAsia" w:ascii="仿宋_GB2312" w:hAnsi="Calibri" w:eastAsia="仿宋_GB2312" w:cs="Times New Roman"/>
          <w:kern w:val="0"/>
          <w:sz w:val="24"/>
          <w:szCs w:val="20"/>
        </w:rPr>
        <w:t>综合</w:t>
      </w:r>
      <w:r>
        <w:rPr>
          <w:rFonts w:ascii="仿宋_GB2312" w:hAnsi="Calibri" w:eastAsia="仿宋_GB2312" w:cs="Times New Roman"/>
          <w:kern w:val="0"/>
          <w:sz w:val="24"/>
          <w:szCs w:val="20"/>
        </w:rPr>
        <w:t xml:space="preserve">评定。 </w:t>
      </w:r>
    </w:p>
    <w:p>
      <w:pPr>
        <w:autoSpaceDE w:val="0"/>
        <w:autoSpaceDN w:val="0"/>
        <w:adjustRightInd w:val="0"/>
        <w:spacing w:line="420" w:lineRule="atLeast"/>
        <w:jc w:val="left"/>
        <w:rPr>
          <w:rFonts w:ascii="黑体" w:hAnsi="Times New Roman" w:eastAsia="黑体" w:cs="黑体"/>
          <w:color w:val="000000"/>
          <w:kern w:val="0"/>
          <w:sz w:val="24"/>
          <w:szCs w:val="24"/>
        </w:rPr>
      </w:pPr>
    </w:p>
    <w:p>
      <w:pPr>
        <w:autoSpaceDE w:val="0"/>
        <w:autoSpaceDN w:val="0"/>
        <w:spacing w:before="156" w:beforeLines="50" w:after="156" w:afterLines="50" w:line="420" w:lineRule="atLeast"/>
        <w:jc w:val="center"/>
        <w:rPr>
          <w:rFonts w:ascii="仿宋_GB2312" w:hAnsi="Calibri" w:eastAsia="仿宋_GB2312" w:cs="Times New Roman"/>
          <w:b/>
          <w:kern w:val="0"/>
          <w:sz w:val="24"/>
          <w:szCs w:val="20"/>
        </w:rPr>
      </w:pPr>
      <w:r>
        <w:rPr>
          <w:rFonts w:ascii="仿宋_GB2312" w:hAnsi="Calibri" w:eastAsia="仿宋_GB2312" w:cs="Times New Roman"/>
          <w:b/>
          <w:kern w:val="0"/>
          <w:sz w:val="24"/>
          <w:szCs w:val="20"/>
        </w:rPr>
        <w:t xml:space="preserve">第五章 发放与终止 </w:t>
      </w:r>
    </w:p>
    <w:p>
      <w:pPr>
        <w:autoSpaceDE w:val="0"/>
        <w:autoSpaceDN w:val="0"/>
        <w:spacing w:line="42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b/>
          <w:kern w:val="0"/>
          <w:sz w:val="24"/>
          <w:szCs w:val="24"/>
        </w:rPr>
        <w:t>第十</w:t>
      </w:r>
      <w:r>
        <w:rPr>
          <w:rFonts w:hint="eastAsia" w:ascii="仿宋_GB2312" w:hAnsi="Calibri" w:eastAsia="仿宋_GB2312" w:cs="Times New Roman"/>
          <w:b/>
          <w:kern w:val="0"/>
          <w:sz w:val="24"/>
          <w:szCs w:val="24"/>
        </w:rPr>
        <w:t>一</w:t>
      </w:r>
      <w:r>
        <w:rPr>
          <w:rFonts w:ascii="仿宋_GB2312" w:hAnsi="Calibri" w:eastAsia="仿宋_GB2312" w:cs="Times New Roman"/>
          <w:b/>
          <w:kern w:val="0"/>
          <w:sz w:val="24"/>
          <w:szCs w:val="24"/>
        </w:rPr>
        <w:t>条</w:t>
      </w:r>
      <w:r>
        <w:rPr>
          <w:rFonts w:ascii="仿宋_GB2312" w:hAnsi="Calibri" w:eastAsia="仿宋_GB2312" w:cs="Times New Roman"/>
          <w:kern w:val="0"/>
          <w:sz w:val="24"/>
          <w:szCs w:val="20"/>
        </w:rPr>
        <w:t xml:space="preserve">  研究生积学奖学金于每学年初评定，一次性发放。 </w:t>
      </w:r>
    </w:p>
    <w:p>
      <w:pPr>
        <w:autoSpaceDE w:val="0"/>
        <w:autoSpaceDN w:val="0"/>
        <w:spacing w:line="42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kern w:val="0"/>
          <w:sz w:val="24"/>
          <w:szCs w:val="20"/>
        </w:rPr>
        <w:t>第</w:t>
      </w:r>
      <w:r>
        <w:rPr>
          <w:rFonts w:ascii="仿宋_GB2312" w:hAnsi="Calibri" w:eastAsia="仿宋_GB2312" w:cs="Times New Roman"/>
          <w:b/>
          <w:kern w:val="0"/>
          <w:sz w:val="24"/>
          <w:szCs w:val="24"/>
        </w:rPr>
        <w:t>十</w:t>
      </w:r>
      <w:r>
        <w:rPr>
          <w:rFonts w:hint="eastAsia" w:ascii="仿宋_GB2312" w:hAnsi="Calibri" w:eastAsia="仿宋_GB2312" w:cs="Times New Roman"/>
          <w:b/>
          <w:kern w:val="0"/>
          <w:sz w:val="24"/>
          <w:szCs w:val="24"/>
        </w:rPr>
        <w:t>二</w:t>
      </w:r>
      <w:r>
        <w:rPr>
          <w:rFonts w:ascii="仿宋_GB2312" w:hAnsi="Calibri" w:eastAsia="仿宋_GB2312" w:cs="Times New Roman"/>
          <w:b/>
          <w:kern w:val="0"/>
          <w:sz w:val="24"/>
          <w:szCs w:val="24"/>
        </w:rPr>
        <w:t>条</w:t>
      </w:r>
      <w:r>
        <w:rPr>
          <w:rFonts w:ascii="仿宋_GB2312" w:hAnsi="Calibri" w:eastAsia="仿宋_GB2312" w:cs="Times New Roman"/>
          <w:kern w:val="0"/>
          <w:sz w:val="24"/>
          <w:szCs w:val="20"/>
        </w:rPr>
        <w:t xml:space="preserve"> 研究生在校期间发生下列情况之一者取消并追回其当学年的积学奖学金： </w:t>
      </w:r>
    </w:p>
    <w:p>
      <w:pPr>
        <w:autoSpaceDE w:val="0"/>
        <w:autoSpaceDN w:val="0"/>
        <w:spacing w:line="42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kern w:val="0"/>
          <w:sz w:val="24"/>
          <w:szCs w:val="20"/>
        </w:rPr>
        <w:t xml:space="preserve">1.违反国家法律法规或校纪校规受到处分者； </w:t>
      </w:r>
    </w:p>
    <w:p>
      <w:pPr>
        <w:autoSpaceDE w:val="0"/>
        <w:autoSpaceDN w:val="0"/>
        <w:spacing w:line="42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kern w:val="0"/>
          <w:sz w:val="24"/>
          <w:szCs w:val="20"/>
        </w:rPr>
        <w:t xml:space="preserve">2.在提交的积学奖学金申请材料中，隐瞒事实或有虚假内容； </w:t>
      </w:r>
    </w:p>
    <w:p>
      <w:pPr>
        <w:autoSpaceDE w:val="0"/>
        <w:autoSpaceDN w:val="0"/>
        <w:spacing w:line="42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kern w:val="0"/>
          <w:sz w:val="24"/>
          <w:szCs w:val="20"/>
        </w:rPr>
        <w:t xml:space="preserve">3.存在剽窃、抄袭、伪造数据等学术不端行为并被认定者； </w:t>
      </w:r>
    </w:p>
    <w:p>
      <w:pPr>
        <w:autoSpaceDE w:val="0"/>
        <w:autoSpaceDN w:val="0"/>
        <w:spacing w:line="420" w:lineRule="atLeast"/>
        <w:ind w:right="113" w:firstLine="480"/>
        <w:jc w:val="left"/>
        <w:rPr>
          <w:rFonts w:ascii="仿宋_GB2312" w:hAnsi="Calibri" w:eastAsia="仿宋_GB2312" w:cs="Times New Roman"/>
          <w:kern w:val="0"/>
          <w:sz w:val="24"/>
          <w:szCs w:val="20"/>
        </w:rPr>
      </w:pPr>
      <w:r>
        <w:rPr>
          <w:rFonts w:ascii="仿宋_GB2312" w:hAnsi="Calibri" w:eastAsia="仿宋_GB2312" w:cs="Times New Roman"/>
          <w:kern w:val="0"/>
          <w:sz w:val="24"/>
          <w:szCs w:val="20"/>
        </w:rPr>
        <w:t xml:space="preserve">4.不按学校规定时间注册学籍、缴纳学费。 </w:t>
      </w:r>
    </w:p>
    <w:p>
      <w:pPr>
        <w:autoSpaceDE w:val="0"/>
        <w:autoSpaceDN w:val="0"/>
        <w:spacing w:before="156" w:beforeLines="50" w:after="156" w:afterLines="50" w:line="420" w:lineRule="atLeast"/>
        <w:jc w:val="center"/>
        <w:rPr>
          <w:rFonts w:ascii="仿宋_GB2312" w:hAnsi="Calibri" w:eastAsia="仿宋_GB2312" w:cs="Times New Roman"/>
          <w:b/>
          <w:kern w:val="0"/>
          <w:sz w:val="24"/>
          <w:szCs w:val="20"/>
        </w:rPr>
      </w:pPr>
      <w:r>
        <w:rPr>
          <w:rFonts w:ascii="仿宋_GB2312" w:hAnsi="Calibri" w:eastAsia="仿宋_GB2312" w:cs="Times New Roman"/>
          <w:b/>
          <w:kern w:val="0"/>
          <w:sz w:val="24"/>
          <w:szCs w:val="20"/>
        </w:rPr>
        <w:t>第六章 附 则</w:t>
      </w:r>
    </w:p>
    <w:p>
      <w:pPr>
        <w:autoSpaceDE w:val="0"/>
        <w:autoSpaceDN w:val="0"/>
        <w:spacing w:line="420" w:lineRule="atLeast"/>
        <w:ind w:firstLine="483"/>
        <w:rPr>
          <w:rFonts w:ascii="仿宋_GB2312" w:hAnsi="Calibri" w:eastAsia="仿宋_GB2312" w:cs="Times New Roman"/>
          <w:kern w:val="0"/>
          <w:sz w:val="24"/>
          <w:szCs w:val="20"/>
        </w:rPr>
      </w:pPr>
      <w:r>
        <w:rPr>
          <w:rFonts w:ascii="仿宋_GB2312" w:hAnsi="Calibri" w:eastAsia="仿宋_GB2312" w:cs="Times New Roman"/>
          <w:b/>
          <w:kern w:val="0"/>
          <w:sz w:val="24"/>
          <w:szCs w:val="24"/>
        </w:rPr>
        <w:t>第十三条</w:t>
      </w:r>
      <w:r>
        <w:rPr>
          <w:rFonts w:ascii="仿宋_GB2312" w:hAnsi="Calibri" w:eastAsia="仿宋_GB2312" w:cs="Times New Roman"/>
          <w:kern w:val="0"/>
          <w:sz w:val="24"/>
          <w:szCs w:val="20"/>
        </w:rPr>
        <w:t xml:space="preserve"> 各研究生培养单位按照本办法规定要求，结合本单位实际情况，制定具体的研究生积学奖学金管理办法的实施细则，并报送研究生积学奖学金评定领导小组办公室审核备案。 </w:t>
      </w:r>
    </w:p>
    <w:p>
      <w:pPr>
        <w:autoSpaceDE w:val="0"/>
        <w:autoSpaceDN w:val="0"/>
        <w:spacing w:line="420" w:lineRule="atLeast"/>
        <w:ind w:firstLine="483"/>
        <w:rPr>
          <w:rFonts w:ascii="仿宋_GB2312" w:hAnsi="Calibri" w:eastAsia="仿宋_GB2312" w:cs="Times New Roman"/>
          <w:kern w:val="0"/>
          <w:sz w:val="24"/>
          <w:szCs w:val="20"/>
        </w:rPr>
      </w:pPr>
      <w:r>
        <w:rPr>
          <w:rFonts w:ascii="仿宋_GB2312" w:hAnsi="Calibri" w:eastAsia="仿宋_GB2312" w:cs="Times New Roman"/>
          <w:b/>
          <w:kern w:val="0"/>
          <w:sz w:val="24"/>
          <w:szCs w:val="24"/>
        </w:rPr>
        <w:t>第十四条</w:t>
      </w:r>
      <w:r>
        <w:rPr>
          <w:rFonts w:ascii="仿宋_GB2312" w:hAnsi="Calibri" w:eastAsia="仿宋_GB2312" w:cs="Times New Roman"/>
          <w:kern w:val="0"/>
          <w:sz w:val="24"/>
          <w:szCs w:val="20"/>
        </w:rPr>
        <w:t xml:space="preserve">  本办法自2014 年秋季入学的研究生起施行。</w:t>
      </w:r>
    </w:p>
    <w:p>
      <w:pPr>
        <w:spacing w:line="420" w:lineRule="atLeast"/>
        <w:ind w:firstLine="482" w:firstLineChars="200"/>
        <w:rPr>
          <w:rFonts w:ascii="仿宋_GB2312" w:hAnsi="Times New Roman" w:eastAsia="仿宋_GB2312" w:cs="Times New Roman"/>
          <w:sz w:val="24"/>
          <w:szCs w:val="24"/>
        </w:rPr>
      </w:pPr>
      <w:r>
        <w:rPr>
          <w:rFonts w:ascii="仿宋_GB2312" w:hAnsi="Calibri" w:eastAsia="仿宋_GB2312" w:cs="Times New Roman"/>
          <w:b/>
          <w:kern w:val="0"/>
          <w:sz w:val="24"/>
          <w:szCs w:val="24"/>
        </w:rPr>
        <w:t>第十五条</w:t>
      </w:r>
      <w:r>
        <w:rPr>
          <w:rFonts w:ascii="仿宋_GB2312" w:hAnsi="Times New Roman" w:eastAsia="仿宋_GB2312" w:cs="Times New Roman"/>
          <w:sz w:val="24"/>
          <w:szCs w:val="24"/>
        </w:rPr>
        <w:t xml:space="preserve">  本办法由研究生院</w:t>
      </w:r>
      <w:r>
        <w:rPr>
          <w:rFonts w:hint="eastAsia" w:ascii="仿宋_GB2312" w:hAnsi="Times New Roman" w:eastAsia="仿宋_GB2312" w:cs="Times New Roman"/>
          <w:sz w:val="24"/>
          <w:szCs w:val="24"/>
        </w:rPr>
        <w:t>（研工部）</w:t>
      </w:r>
      <w:r>
        <w:rPr>
          <w:rFonts w:ascii="仿宋_GB2312" w:hAnsi="Times New Roman" w:eastAsia="仿宋_GB2312" w:cs="Times New Roman"/>
          <w:sz w:val="24"/>
          <w:szCs w:val="24"/>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47CC75-24F8-4118-AFD8-11763E5A51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BA2E61B-D8F2-4DE8-9F85-102E06F6BEA6}"/>
  </w:font>
  <w:font w:name="方正小标宋简体">
    <w:panose1 w:val="03000509000000000000"/>
    <w:charset w:val="86"/>
    <w:family w:val="script"/>
    <w:pitch w:val="default"/>
    <w:sig w:usb0="00000001" w:usb1="080E0000" w:usb2="00000000" w:usb3="00000000" w:csb0="00040000" w:csb1="00000000"/>
    <w:embedRegular r:id="rId3" w:fontKey="{33A2ED98-43E6-4DDA-BBEB-FFEAF2A9CC47}"/>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4" w:fontKey="{50D35470-9D8B-41C8-9712-38CC1849497D}"/>
  </w:font>
  <w:font w:name="方正大标宋简体">
    <w:panose1 w:val="02000000000000000000"/>
    <w:charset w:val="86"/>
    <w:family w:val="auto"/>
    <w:pitch w:val="default"/>
    <w:sig w:usb0="A00002BF" w:usb1="184F6CFA" w:usb2="00000012" w:usb3="00000000" w:csb0="00040001" w:csb1="00000000"/>
    <w:embedRegular r:id="rId5" w:fontKey="{1B883014-EDAE-4126-98E9-3A742ABBA4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JkOTJkMjQ2MjcwM2ZlMjk5ZjMwYjliMjQ0YjI1YmIifQ=="/>
  </w:docVars>
  <w:rsids>
    <w:rsidRoot w:val="004D6D12"/>
    <w:rsid w:val="0008223D"/>
    <w:rsid w:val="00083DC5"/>
    <w:rsid w:val="00170E28"/>
    <w:rsid w:val="001F23FE"/>
    <w:rsid w:val="0038132F"/>
    <w:rsid w:val="003B5C02"/>
    <w:rsid w:val="0044075E"/>
    <w:rsid w:val="0049027A"/>
    <w:rsid w:val="004C1BF5"/>
    <w:rsid w:val="004D6D12"/>
    <w:rsid w:val="007A5EBF"/>
    <w:rsid w:val="008067A9"/>
    <w:rsid w:val="0082387C"/>
    <w:rsid w:val="008309C5"/>
    <w:rsid w:val="008B7B99"/>
    <w:rsid w:val="00980C65"/>
    <w:rsid w:val="009B3A0C"/>
    <w:rsid w:val="00A36CF0"/>
    <w:rsid w:val="00B07AA5"/>
    <w:rsid w:val="00B379F1"/>
    <w:rsid w:val="00B77364"/>
    <w:rsid w:val="00BC0E9C"/>
    <w:rsid w:val="00C553E1"/>
    <w:rsid w:val="00CF5DC2"/>
    <w:rsid w:val="00D85A4F"/>
    <w:rsid w:val="00DB09E1"/>
    <w:rsid w:val="00EF610E"/>
    <w:rsid w:val="382F0A39"/>
    <w:rsid w:val="7BC9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Shaanxi Normal University</Company>
  <Pages>3</Pages>
  <Words>1409</Words>
  <Characters>1454</Characters>
  <Lines>11</Lines>
  <Paragraphs>3</Paragraphs>
  <TotalTime>42</TotalTime>
  <ScaleCrop>false</ScaleCrop>
  <LinksUpToDate>false</LinksUpToDate>
  <CharactersWithSpaces>1514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2016-10-27T03:31:00Z</dcterms:created>
  <dc:creator>NTKO</dc:creator>
  <cp:lastModifiedBy>一然如许</cp:lastModifiedBy>
  <cp:lastPrinted>2022-11-21T06:29:34Z</cp:lastPrinted>
  <dcterms:modified xsi:type="dcterms:W3CDTF">2022-11-21T06:59:22Z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16268B4BEF654A7AA07C69F95C46BF4B</vt:lpwstr>
  </property>
</Properties>
</file>