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kern w:val="0"/>
        </w:rPr>
      </w:pPr>
    </w:p>
    <w:p>
      <w:pPr>
        <w:spacing w:line="400" w:lineRule="exact"/>
        <w:jc w:val="center"/>
        <w:rPr>
          <w:rFonts w:ascii="宋体" w:hAnsi="宋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专业学位</w:t>
      </w:r>
      <w:bookmarkStart w:id="16" w:name="_GoBack"/>
      <w:bookmarkEnd w:id="16"/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教育教学案例</w:t>
      </w:r>
      <w:r>
        <w:rPr>
          <w:rFonts w:hint="eastAsia" w:ascii="黑体" w:hAnsi="黑体" w:eastAsia="黑体"/>
          <w:kern w:val="0"/>
          <w:sz w:val="32"/>
          <w:szCs w:val="32"/>
        </w:rPr>
        <w:t>基本结构与体例格式要求</w:t>
      </w:r>
    </w:p>
    <w:p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</w:t>
      </w:r>
    </w:p>
    <w:p>
      <w:pPr>
        <w:spacing w:line="4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 xml:space="preserve">    一、案例</w:t>
      </w:r>
      <w:r>
        <w:rPr>
          <w:rFonts w:hint="eastAsia" w:ascii="黑体" w:hAnsi="黑体" w:eastAsia="黑体"/>
          <w:sz w:val="28"/>
          <w:szCs w:val="28"/>
        </w:rPr>
        <w:t>基本</w:t>
      </w:r>
      <w:r>
        <w:rPr>
          <w:rFonts w:ascii="黑体" w:hAnsi="黑体" w:eastAsia="黑体"/>
          <w:sz w:val="28"/>
          <w:szCs w:val="28"/>
        </w:rPr>
        <w:t>结构</w:t>
      </w:r>
    </w:p>
    <w:p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案例由案例标题（中英文）、首页注释、摘要关键词（中英文）、背景信息、案例正文、案例思考题、案例使用说明、附件等部分构成。</w:t>
      </w:r>
    </w:p>
    <w:p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ascii="宋体" w:hAnsi="宋体"/>
          <w:szCs w:val="21"/>
        </w:rPr>
        <w:t>一</w:t>
      </w:r>
      <w:r>
        <w:rPr>
          <w:rFonts w:hint="eastAsia" w:ascii="宋体" w:hAnsi="宋体"/>
          <w:szCs w:val="21"/>
        </w:rPr>
        <w:t>）案例标题：宜用描述性语言，避免价值主导话语与论文化表述，要准确，注意匿名处理等；标题需要翻译成英文。</w:t>
      </w:r>
    </w:p>
    <w:p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（二）首页注释：进行作者简介与编制说明。“作者简介”标明作者姓名、工作单位、研究领域；“编制说明”交代案例性质及技术性处理问题。</w:t>
      </w:r>
    </w:p>
    <w:p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（三）摘要关键词：摘要应精炼，能概括出案例的主要内容，不做评价性分析或倡导性建议，300字左右；关键词3-5个。摘要与关键词需要翻译成英文。</w:t>
      </w:r>
    </w:p>
    <w:p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（四）背景信息：主要用于说明案例主题的政策与实践、理论与研究的背景以及案例对象的相关情况。</w:t>
      </w:r>
      <w:r>
        <w:rPr>
          <w:rFonts w:ascii="宋体" w:hAnsi="宋体"/>
          <w:szCs w:val="21"/>
        </w:rPr>
        <w:t>1500</w:t>
      </w:r>
      <w:r>
        <w:rPr>
          <w:rFonts w:hint="eastAsia" w:ascii="宋体" w:hAnsi="宋体"/>
          <w:szCs w:val="21"/>
        </w:rPr>
        <w:t>字左右。</w:t>
      </w:r>
    </w:p>
    <w:p>
      <w:pPr>
        <w:spacing w:line="400" w:lineRule="exact"/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（五）案例正文：篇幅在</w:t>
      </w:r>
      <w:r>
        <w:rPr>
          <w:rFonts w:ascii="宋体" w:hAnsi="宋体"/>
          <w:szCs w:val="21"/>
        </w:rPr>
        <w:t>8000</w:t>
      </w:r>
      <w:r>
        <w:rPr>
          <w:rFonts w:hint="eastAsia" w:ascii="宋体" w:hAnsi="宋体"/>
          <w:szCs w:val="21"/>
        </w:rPr>
        <w:t>-</w:t>
      </w:r>
      <w:r>
        <w:rPr>
          <w:rFonts w:ascii="宋体" w:hAnsi="宋体"/>
          <w:szCs w:val="21"/>
        </w:rPr>
        <w:t>15000</w:t>
      </w:r>
      <w:r>
        <w:rPr>
          <w:rFonts w:hint="eastAsia" w:ascii="宋体" w:hAnsi="宋体"/>
          <w:szCs w:val="21"/>
        </w:rPr>
        <w:t>字之间。要注意原创性、叙事性、真实性与可读性等要求。</w:t>
      </w:r>
    </w:p>
    <w:p>
      <w:pPr>
        <w:spacing w:line="400" w:lineRule="exact"/>
        <w:ind w:firstLine="42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（六）结语：根据需要对案例进行精辟总结。</w:t>
      </w:r>
    </w:p>
    <w:p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eastAsia="zh-CN"/>
        </w:rPr>
        <w:t>七</w:t>
      </w:r>
      <w:r>
        <w:rPr>
          <w:rFonts w:hint="eastAsia" w:ascii="宋体" w:hAnsi="宋体"/>
          <w:szCs w:val="21"/>
        </w:rPr>
        <w:t>）案例思考题：</w:t>
      </w:r>
      <w:r>
        <w:rPr>
          <w:rFonts w:hint="eastAsia" w:ascii="宋体" w:hAnsi="宋体"/>
          <w:szCs w:val="21"/>
          <w:lang w:eastAsia="zh-CN"/>
        </w:rPr>
        <w:t>要紧密结合案例内容，与教学目标结合起来，能引起讨论、启发思考，引导案例学习者运用案例中的理论和策略解决类似的实践问题，增强案例的辐射性，最大化地发挥案例教学的功能。</w:t>
      </w:r>
      <w:r>
        <w:rPr>
          <w:rFonts w:hint="eastAsia" w:ascii="宋体" w:hAnsi="宋体"/>
          <w:szCs w:val="21"/>
        </w:rPr>
        <w:t>一般以4-6道为宜。</w:t>
      </w:r>
    </w:p>
    <w:p>
      <w:pPr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eastAsia="zh-CN"/>
        </w:rPr>
        <w:t>八</w:t>
      </w:r>
      <w:r>
        <w:rPr>
          <w:rFonts w:hint="eastAsia" w:ascii="宋体" w:hAnsi="宋体"/>
          <w:szCs w:val="21"/>
        </w:rPr>
        <w:t>）案例使用说明：包括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1.适用范围：含适用对象与适用课程。</w:t>
      </w:r>
    </w:p>
    <w:p>
      <w:pPr>
        <w:spacing w:line="400" w:lineRule="exact"/>
        <w:ind w:firstLine="48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/>
          <w:szCs w:val="21"/>
          <w:lang w:eastAsia="zh-CN"/>
        </w:rPr>
        <w:t>配套教材：</w:t>
      </w:r>
    </w:p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教学目的：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.关键要点：含相关理论、关键知识点、关键能力点、案例分析思路。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.教学建议：含时间安排、环节安排、人数要求、教学方法、活动建议等。</w:t>
      </w:r>
    </w:p>
    <w:p>
      <w:pPr>
        <w:spacing w:line="4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.推荐阅读：</w:t>
      </w:r>
      <w:r>
        <w:rPr>
          <w:rFonts w:ascii="宋体" w:hAnsi="宋体"/>
          <w:szCs w:val="21"/>
        </w:rPr>
        <w:t>推荐给教师和学员拓展阅读的文献。</w:t>
      </w:r>
    </w:p>
    <w:p>
      <w:pPr>
        <w:tabs>
          <w:tab w:val="left" w:pos="720"/>
        </w:tabs>
        <w:spacing w:line="40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宋体" w:hAnsi="宋体"/>
          <w:szCs w:val="21"/>
          <w:lang w:eastAsia="zh-CN"/>
        </w:rPr>
        <w:t>九</w:t>
      </w:r>
      <w:r>
        <w:rPr>
          <w:rFonts w:hint="eastAsia" w:ascii="宋体" w:hAnsi="宋体"/>
          <w:szCs w:val="21"/>
        </w:rPr>
        <w:t>）附件：对理解与讨论案例有帮助，又不适合放在正文部分的资料。根据需要提供，不要求每一个案例都提供附件。</w:t>
      </w:r>
    </w:p>
    <w:p>
      <w:pPr>
        <w:spacing w:line="40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>案例</w:t>
      </w:r>
      <w:r>
        <w:rPr>
          <w:rFonts w:hint="eastAsia" w:ascii="黑体" w:hAnsi="黑体" w:eastAsia="黑体"/>
          <w:sz w:val="28"/>
          <w:szCs w:val="28"/>
        </w:rPr>
        <w:t>排版格式</w:t>
      </w:r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（一）</w:t>
      </w:r>
      <w:bookmarkStart w:id="0" w:name="OLE_LINK18"/>
      <w:bookmarkStart w:id="1" w:name="OLE_LINK19"/>
      <w:r>
        <w:rPr>
          <w:rFonts w:hint="eastAsia" w:ascii="宋体" w:hAnsi="宋体"/>
          <w:b/>
          <w:szCs w:val="21"/>
        </w:rPr>
        <w:t>案例标题</w:t>
      </w:r>
    </w:p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中文——黑体</w:t>
      </w:r>
      <w:bookmarkEnd w:id="0"/>
      <w:bookmarkEnd w:id="1"/>
      <w:r>
        <w:rPr>
          <w:rFonts w:hint="eastAsia" w:ascii="宋体" w:hAnsi="宋体"/>
          <w:szCs w:val="21"/>
        </w:rPr>
        <w:t>、小二、居中；英文——</w:t>
      </w:r>
      <w:r>
        <w:rPr>
          <w:rFonts w:ascii="Times New Roman" w:hAnsi="Times New Roman"/>
          <w:szCs w:val="21"/>
        </w:rPr>
        <w:t>Times New Roman</w:t>
      </w:r>
      <w:r>
        <w:rPr>
          <w:rFonts w:hint="eastAsia" w:ascii="宋体" w:hAnsi="宋体"/>
          <w:szCs w:val="21"/>
        </w:rPr>
        <w:t>、三号、加粗、居中。</w:t>
      </w:r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（二）首页注释</w:t>
      </w:r>
    </w:p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楷体、小五、单倍行距（所有文中注释也为楷体、小五、单倍行距。文中页下脚注为宋体、小五、单倍行距）</w:t>
      </w:r>
      <w:bookmarkStart w:id="2" w:name="OLE_LINK14"/>
      <w:bookmarkStart w:id="3" w:name="OLE_LINK15"/>
      <w:bookmarkStart w:id="4" w:name="OLE_LINK32"/>
      <w:bookmarkStart w:id="5" w:name="OLE_LINK33"/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（三）中文摘要、关键词</w:t>
      </w:r>
      <w:bookmarkEnd w:id="2"/>
      <w:bookmarkEnd w:id="3"/>
    </w:p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文字内容用楷体、五号，</w:t>
      </w:r>
      <w:bookmarkStart w:id="6" w:name="OLE_LINK16"/>
      <w:bookmarkStart w:id="7" w:name="OLE_LINK17"/>
      <w:r>
        <w:rPr>
          <w:rFonts w:hint="eastAsia" w:ascii="宋体" w:hAnsi="宋体"/>
          <w:szCs w:val="21"/>
        </w:rPr>
        <w:t>行间距固定值18</w:t>
      </w:r>
      <w:bookmarkEnd w:id="6"/>
      <w:bookmarkEnd w:id="7"/>
      <w:r>
        <w:rPr>
          <w:rFonts w:hint="eastAsia" w:ascii="宋体" w:hAnsi="宋体"/>
          <w:szCs w:val="21"/>
        </w:rPr>
        <w:t>；“摘要”与“关键词”本身用楷体、四号、加粗。</w:t>
      </w:r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（四）英文摘要、关键词</w:t>
      </w:r>
    </w:p>
    <w:p>
      <w:pPr>
        <w:spacing w:line="400" w:lineRule="exact"/>
        <w:ind w:firstLine="480"/>
        <w:rPr>
          <w:rFonts w:hint="eastAsia" w:ascii="New time" w:hAnsi="New time"/>
          <w:szCs w:val="21"/>
        </w:rPr>
      </w:pPr>
      <w:r>
        <w:rPr>
          <w:rFonts w:hint="eastAsia" w:ascii="宋体" w:hAnsi="宋体"/>
          <w:szCs w:val="21"/>
        </w:rPr>
        <w:t>文字内容用</w:t>
      </w:r>
      <w:r>
        <w:rPr>
          <w:rFonts w:ascii="Times New Roman" w:hAnsi="Times New Roman"/>
          <w:szCs w:val="21"/>
        </w:rPr>
        <w:t>Times New Roman</w:t>
      </w:r>
      <w:r>
        <w:rPr>
          <w:rFonts w:hint="eastAsia" w:ascii="宋体" w:hAnsi="宋体"/>
          <w:szCs w:val="21"/>
        </w:rPr>
        <w:t>、小四、行间距固定值18；</w:t>
      </w:r>
      <w:r>
        <w:rPr>
          <w:rFonts w:ascii="Times New Roman" w:hAnsi="Times New Roman"/>
          <w:szCs w:val="21"/>
        </w:rPr>
        <w:t>“Abstract”和“Key words”</w:t>
      </w:r>
      <w:r>
        <w:rPr>
          <w:rFonts w:hint="eastAsia" w:ascii="宋体" w:hAnsi="宋体"/>
          <w:szCs w:val="21"/>
        </w:rPr>
        <w:t>本身用</w:t>
      </w:r>
      <w:r>
        <w:rPr>
          <w:rFonts w:ascii="Times New Roman" w:hAnsi="Times New Roman"/>
          <w:szCs w:val="21"/>
        </w:rPr>
        <w:t>Times New Roman</w:t>
      </w:r>
      <w:r>
        <w:rPr>
          <w:rFonts w:hint="eastAsia" w:ascii="宋体" w:hAnsi="宋体"/>
          <w:szCs w:val="21"/>
        </w:rPr>
        <w:t>、四号、加粗。</w:t>
      </w:r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（五）背景信息</w:t>
      </w:r>
      <w:bookmarkStart w:id="8" w:name="OLE_LINK24"/>
      <w:bookmarkStart w:id="9" w:name="OLE_LINK25"/>
      <w:bookmarkStart w:id="10" w:name="OLE_LINK27"/>
    </w:p>
    <w:p>
      <w:pPr>
        <w:spacing w:line="400" w:lineRule="exact"/>
        <w:ind w:firstLine="480"/>
        <w:rPr>
          <w:rFonts w:hint="eastAsia" w:ascii="New time" w:hAnsi="New time"/>
          <w:szCs w:val="21"/>
        </w:rPr>
      </w:pPr>
      <w:r>
        <w:rPr>
          <w:rFonts w:hint="eastAsia" w:ascii="宋体" w:hAnsi="宋体"/>
          <w:szCs w:val="21"/>
        </w:rPr>
        <w:t>文字内容用宋体、五号，</w:t>
      </w:r>
      <w:bookmarkStart w:id="11" w:name="OLE_LINK26"/>
      <w:r>
        <w:rPr>
          <w:rFonts w:hint="eastAsia" w:ascii="宋体" w:hAnsi="宋体"/>
          <w:szCs w:val="21"/>
        </w:rPr>
        <w:t>行间距固定值18</w:t>
      </w:r>
      <w:bookmarkEnd w:id="11"/>
      <w:r>
        <w:rPr>
          <w:rFonts w:hint="eastAsia" w:ascii="宋体" w:hAnsi="宋体"/>
          <w:szCs w:val="21"/>
        </w:rPr>
        <w:t>；“背景信息”本身用黑体、四号。</w:t>
      </w:r>
      <w:bookmarkEnd w:id="4"/>
      <w:bookmarkEnd w:id="5"/>
      <w:bookmarkEnd w:id="8"/>
      <w:bookmarkEnd w:id="9"/>
      <w:bookmarkEnd w:id="10"/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（六）案例正文</w:t>
      </w:r>
    </w:p>
    <w:p>
      <w:pPr>
        <w:spacing w:line="400" w:lineRule="exact"/>
        <w:ind w:firstLine="4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一级标题用</w:t>
      </w:r>
      <w:bookmarkStart w:id="12" w:name="OLE_LINK20"/>
      <w:bookmarkStart w:id="13" w:name="OLE_LINK21"/>
      <w:r>
        <w:rPr>
          <w:rFonts w:hint="eastAsia" w:ascii="宋体" w:hAnsi="宋体"/>
          <w:szCs w:val="21"/>
        </w:rPr>
        <w:t>黑体、四号</w:t>
      </w:r>
      <w:bookmarkEnd w:id="12"/>
      <w:bookmarkEnd w:id="13"/>
      <w:r>
        <w:rPr>
          <w:rFonts w:hint="eastAsia" w:ascii="宋体" w:hAnsi="宋体"/>
          <w:szCs w:val="21"/>
        </w:rPr>
        <w:t>；二级标题用黑体、小四；三级标题用黑体、五号。正文文字内容行间距固定值18。“案例正文”本身用黑体、四号。</w:t>
      </w:r>
    </w:p>
    <w:p>
      <w:pPr>
        <w:numPr>
          <w:ilvl w:val="0"/>
          <w:numId w:val="1"/>
        </w:numPr>
        <w:spacing w:line="400" w:lineRule="exact"/>
        <w:ind w:firstLine="480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结语</w:t>
      </w:r>
    </w:p>
    <w:p>
      <w:pPr>
        <w:spacing w:line="400" w:lineRule="exact"/>
        <w:ind w:firstLine="480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szCs w:val="21"/>
        </w:rPr>
        <w:t>文字内容用宋体、五号，行间距固定值18；“</w:t>
      </w:r>
      <w:r>
        <w:rPr>
          <w:rFonts w:hint="eastAsia" w:ascii="宋体" w:hAnsi="宋体"/>
          <w:szCs w:val="21"/>
          <w:lang w:eastAsia="zh-CN"/>
        </w:rPr>
        <w:t>案例结语</w:t>
      </w:r>
      <w:r>
        <w:rPr>
          <w:rFonts w:hint="eastAsia" w:ascii="宋体" w:hAnsi="宋体"/>
          <w:szCs w:val="21"/>
        </w:rPr>
        <w:t>”本身用黑体、四号</w:t>
      </w:r>
      <w:r>
        <w:rPr>
          <w:rFonts w:hint="eastAsia" w:ascii="宋体" w:hAnsi="宋体"/>
          <w:szCs w:val="21"/>
          <w:lang w:eastAsia="zh-CN"/>
        </w:rPr>
        <w:t>、居中</w:t>
      </w:r>
      <w:r>
        <w:rPr>
          <w:rFonts w:hint="eastAsia" w:ascii="宋体" w:hAnsi="宋体"/>
          <w:szCs w:val="21"/>
        </w:rPr>
        <w:t>。</w:t>
      </w:r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hint="eastAsia" w:ascii="宋体" w:hAnsi="宋体"/>
          <w:b/>
          <w:szCs w:val="21"/>
          <w:lang w:eastAsia="zh-CN"/>
        </w:rPr>
        <w:t>八</w:t>
      </w:r>
      <w:r>
        <w:rPr>
          <w:rFonts w:hint="eastAsia" w:ascii="宋体" w:hAnsi="宋体"/>
          <w:b/>
          <w:szCs w:val="21"/>
        </w:rPr>
        <w:t>）案例思考题</w:t>
      </w:r>
    </w:p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文字内容用宋体、五号，行间距固定值18；“案例思考题”本身用黑体、四号。</w:t>
      </w:r>
    </w:p>
    <w:p>
      <w:pPr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</w:t>
      </w:r>
      <w:r>
        <w:rPr>
          <w:rFonts w:hint="eastAsia" w:ascii="宋体" w:hAnsi="宋体"/>
          <w:b/>
          <w:szCs w:val="21"/>
          <w:lang w:eastAsia="zh-CN"/>
        </w:rPr>
        <w:t>九</w:t>
      </w:r>
      <w:r>
        <w:rPr>
          <w:rFonts w:hint="eastAsia" w:ascii="宋体" w:hAnsi="宋体"/>
          <w:b/>
          <w:szCs w:val="21"/>
        </w:rPr>
        <w:t>）案例使用说明</w:t>
      </w:r>
    </w:p>
    <w:p>
      <w:pPr>
        <w:spacing w:line="400" w:lineRule="exact"/>
        <w:ind w:firstLine="480"/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/>
          <w:szCs w:val="21"/>
        </w:rPr>
        <w:t>文字内容用宋体、五号，行间距固定值18；“案例使用说明”本身用黑体、四号；“适用范围”、</w:t>
      </w:r>
      <w:r>
        <w:rPr>
          <w:rFonts w:hint="eastAsia" w:ascii="宋体" w:hAnsi="宋体"/>
          <w:szCs w:val="21"/>
          <w:lang w:eastAsia="zh-CN"/>
        </w:rPr>
        <w:t>“配套教材”、</w:t>
      </w:r>
      <w:r>
        <w:rPr>
          <w:rFonts w:hint="eastAsia" w:ascii="宋体" w:hAnsi="宋体"/>
          <w:szCs w:val="21"/>
        </w:rPr>
        <w:t>“教学目的”、“关键要点”、“教学建议”、“推荐阅读”本身用黑体、小四。“相关理论”、“关键知识点”、“关键能力点”、“案例分析思路”本身用黑体、五号。</w:t>
      </w:r>
    </w:p>
    <w:p>
      <w:pPr>
        <w:spacing w:line="400" w:lineRule="exact"/>
        <w:ind w:firstLine="56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</w:t>
      </w:r>
      <w:r>
        <w:rPr>
          <w:rFonts w:ascii="黑体" w:hAnsi="黑体" w:eastAsia="黑体"/>
          <w:sz w:val="28"/>
          <w:szCs w:val="28"/>
        </w:rPr>
        <w:t>案例编写体例</w:t>
      </w:r>
    </w:p>
    <w:p>
      <w:pPr>
        <w:tabs>
          <w:tab w:val="left" w:pos="720"/>
        </w:tabs>
        <w:spacing w:line="40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（一）标题层次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序号层次：第一层用“一、”，第二层用“（一）”，第三层用“1．”，第四层用“（1）”，第五层用“①”。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（二）文中注释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案例中所涉及到的一些图表、数据、照片、插图、历史资料等材料，如需说明，一律采用表（图）下注释的方式予以说明。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（三）文献引注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案例中的文中注释和推荐阅读文献的标注方式，参照</w:t>
      </w:r>
      <w:r>
        <w:rPr>
          <w:rFonts w:ascii="宋体" w:hAnsi="宋体"/>
          <w:szCs w:val="21"/>
        </w:rPr>
        <w:t>GB/T7714—20</w:t>
      </w: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。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1.专著</w:t>
      </w:r>
    </w:p>
    <w:p>
      <w:pPr>
        <w:tabs>
          <w:tab w:val="left" w:pos="720"/>
        </w:tabs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主要责任者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题名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其他题</w:t>
      </w:r>
      <w:r>
        <w:rPr>
          <w:rFonts w:hint="eastAsia" w:ascii="Times New Roman" w:hAnsi="Times New Roman"/>
          <w:szCs w:val="21"/>
        </w:rPr>
        <w:t>名</w:t>
      </w:r>
      <w:r>
        <w:rPr>
          <w:rFonts w:ascii="Times New Roman" w:hAnsi="Times New Roman"/>
          <w:szCs w:val="21"/>
        </w:rPr>
        <w:t>信息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文献类型标识</w:t>
      </w:r>
      <w:r>
        <w:rPr>
          <w:rFonts w:hint="eastAsia" w:ascii="Times New Roman" w:hAnsi="Times New Roman"/>
          <w:szCs w:val="21"/>
        </w:rPr>
        <w:t>/</w:t>
      </w:r>
      <w:r>
        <w:rPr>
          <w:rFonts w:ascii="Times New Roman" w:hAnsi="Times New Roman"/>
          <w:szCs w:val="21"/>
        </w:rPr>
        <w:t>文献载体标识</w:t>
      </w:r>
      <w:r>
        <w:rPr>
          <w:rFonts w:hint="eastAsia" w:ascii="Times New Roman" w:hAnsi="Times New Roman"/>
          <w:szCs w:val="21"/>
        </w:rPr>
        <w:t xml:space="preserve">]. </w:t>
      </w:r>
      <w:r>
        <w:rPr>
          <w:rFonts w:ascii="Times New Roman" w:hAnsi="Times New Roman"/>
          <w:szCs w:val="21"/>
        </w:rPr>
        <w:t>其他责任者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版本项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出版地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出版者</w:t>
      </w:r>
      <w:r>
        <w:rPr>
          <w:rFonts w:hint="eastAsia" w:ascii="Times New Roman" w:hAnsi="Times New Roman"/>
          <w:szCs w:val="21"/>
        </w:rPr>
        <w:t>, 出版</w:t>
      </w:r>
      <w:r>
        <w:rPr>
          <w:rFonts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引文页码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引用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>期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．获取和访问路径．数字对象唯一标识符．</w:t>
      </w:r>
    </w:p>
    <w:p>
      <w:pPr>
        <w:tabs>
          <w:tab w:val="left" w:pos="720"/>
        </w:tabs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示例</w:t>
      </w:r>
      <w:r>
        <w:rPr>
          <w:rFonts w:ascii="Times New Roman" w:hAnsi="Times New Roman"/>
          <w:szCs w:val="21"/>
        </w:rPr>
        <w:t>:</w:t>
      </w:r>
    </w:p>
    <w:p>
      <w:pPr>
        <w:tabs>
          <w:tab w:val="left" w:pos="7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[1]</w:t>
      </w:r>
      <w:r>
        <w:rPr>
          <w:rFonts w:ascii="Times New Roman" w:hAnsi="Times New Roman"/>
          <w:szCs w:val="21"/>
        </w:rPr>
        <w:t xml:space="preserve"> 陈登原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国史</w:t>
      </w:r>
      <w:r>
        <w:rPr>
          <w:rFonts w:hint="eastAsia" w:ascii="Times New Roman" w:hAnsi="Times New Roman"/>
          <w:szCs w:val="21"/>
        </w:rPr>
        <w:t>旧闻:</w:t>
      </w:r>
      <w:r>
        <w:rPr>
          <w:rFonts w:ascii="Times New Roman" w:hAnsi="Times New Roman"/>
          <w:szCs w:val="21"/>
        </w:rPr>
        <w:t xml:space="preserve"> 第</w:t>
      </w: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卷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 xml:space="preserve"> .北京</w:t>
      </w:r>
      <w:r>
        <w:rPr>
          <w:rFonts w:hint="eastAsia" w:ascii="Times New Roman" w:hAnsi="Times New Roman"/>
          <w:szCs w:val="21"/>
        </w:rPr>
        <w:t xml:space="preserve">: 中华书局, </w:t>
      </w:r>
      <w:r>
        <w:rPr>
          <w:rFonts w:ascii="Times New Roman" w:hAnsi="Times New Roman"/>
          <w:szCs w:val="21"/>
        </w:rPr>
        <w:t>2000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29.</w:t>
      </w:r>
    </w:p>
    <w:p>
      <w:pPr>
        <w:tabs>
          <w:tab w:val="left" w:pos="851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[2]</w:t>
      </w:r>
      <w:r>
        <w:rPr>
          <w:rFonts w:ascii="Times New Roman" w:hAnsi="Times New Roman"/>
          <w:szCs w:val="21"/>
        </w:rPr>
        <w:t xml:space="preserve"> 哈里森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沃尔德伦．经济数学与金融数学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 xml:space="preserve">. </w:t>
      </w:r>
      <w:r>
        <w:rPr>
          <w:rFonts w:hint="eastAsia" w:ascii="Times New Roman" w:hAnsi="Times New Roman"/>
          <w:szCs w:val="21"/>
        </w:rPr>
        <w:t>谢</w:t>
      </w:r>
      <w:r>
        <w:rPr>
          <w:rFonts w:ascii="Times New Roman" w:hAnsi="Times New Roman"/>
          <w:szCs w:val="21"/>
        </w:rPr>
        <w:t>远涛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译．北京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中国人民大学出版社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2012: 235-236.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[3] 北京市政协民族和</w:t>
      </w:r>
      <w:r>
        <w:rPr>
          <w:rFonts w:hint="eastAsia" w:ascii="Times New Roman" w:hAnsi="Times New Roman"/>
          <w:szCs w:val="21"/>
        </w:rPr>
        <w:t>宗教</w:t>
      </w:r>
      <w:r>
        <w:rPr>
          <w:rFonts w:ascii="Times New Roman" w:hAnsi="Times New Roman"/>
          <w:szCs w:val="21"/>
        </w:rPr>
        <w:t>委员会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北京联合大学民族与宗教研究所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历代王朝与民族</w:t>
      </w:r>
      <w:r>
        <w:rPr>
          <w:rFonts w:hint="eastAsia" w:ascii="Times New Roman" w:hAnsi="Times New Roman"/>
          <w:szCs w:val="21"/>
        </w:rPr>
        <w:t>宗教[</w:t>
      </w:r>
      <w:r>
        <w:rPr>
          <w:rFonts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. 北京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民族出版社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2012: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112.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[4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全国信息与文献标准化技术委员会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信息与文献 都柏林核心元数据元素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GB/T 25100-2010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S</w:t>
      </w:r>
      <w:r>
        <w:rPr>
          <w:rFonts w:hint="eastAsia" w:ascii="Times New Roman" w:hAnsi="Times New Roman"/>
          <w:szCs w:val="21"/>
        </w:rPr>
        <w:t xml:space="preserve">]. </w:t>
      </w:r>
      <w:r>
        <w:rPr>
          <w:rFonts w:ascii="Times New Roman" w:hAnsi="Times New Roman"/>
          <w:szCs w:val="21"/>
        </w:rPr>
        <w:t>北京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中国标准出版社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2010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2-3.</w:t>
      </w:r>
    </w:p>
    <w:p>
      <w:pPr>
        <w:tabs>
          <w:tab w:val="left" w:pos="720"/>
        </w:tabs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[5] 徐光宪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玉祥云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物质结构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</w:rPr>
        <w:t xml:space="preserve">]. </w:t>
      </w:r>
      <w:r>
        <w:rPr>
          <w:rFonts w:ascii="Times New Roman" w:hAnsi="Times New Roman"/>
          <w:szCs w:val="21"/>
        </w:rPr>
        <w:t>北京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科学出版社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2010.</w:t>
      </w:r>
    </w:p>
    <w:p>
      <w:pPr>
        <w:tabs>
          <w:tab w:val="left" w:pos="720"/>
        </w:tabs>
        <w:spacing w:line="400" w:lineRule="exact"/>
        <w:ind w:firstLine="48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[6] 顾炎武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昌平山水记</w:t>
      </w:r>
      <w:r>
        <w:rPr>
          <w:rFonts w:hint="eastAsia" w:ascii="Times New Roman" w:hAnsi="Times New Roman"/>
          <w:szCs w:val="21"/>
        </w:rPr>
        <w:t>；</w:t>
      </w:r>
      <w:r>
        <w:rPr>
          <w:rFonts w:ascii="Times New Roman" w:hAnsi="Times New Roman"/>
          <w:szCs w:val="21"/>
        </w:rPr>
        <w:t>京东考古录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. 北京：北京</w:t>
      </w:r>
      <w:r>
        <w:rPr>
          <w:rFonts w:hint="eastAsia" w:ascii="Times New Roman" w:hAnsi="Times New Roman"/>
          <w:szCs w:val="21"/>
        </w:rPr>
        <w:t>古籍</w:t>
      </w:r>
      <w:r>
        <w:rPr>
          <w:rFonts w:ascii="Times New Roman" w:hAnsi="Times New Roman"/>
          <w:szCs w:val="21"/>
        </w:rPr>
        <w:t>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 xml:space="preserve">1992. </w:t>
      </w:r>
    </w:p>
    <w:p>
      <w:pPr>
        <w:tabs>
          <w:tab w:val="left" w:pos="720"/>
        </w:tabs>
        <w:spacing w:line="40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[7] </w:t>
      </w:r>
      <w:r>
        <w:rPr>
          <w:rFonts w:hint="eastAsia" w:ascii="Times New Roman" w:hAnsi="Times New Roman"/>
          <w:szCs w:val="21"/>
        </w:rPr>
        <w:t>王</w:t>
      </w:r>
      <w:r>
        <w:rPr>
          <w:rFonts w:ascii="Times New Roman" w:hAnsi="Times New Roman"/>
          <w:szCs w:val="21"/>
        </w:rPr>
        <w:t>夫之</w:t>
      </w:r>
      <w:r>
        <w:rPr>
          <w:rFonts w:hint="eastAsia" w:ascii="Times New Roman" w:hAnsi="Times New Roman"/>
          <w:szCs w:val="21"/>
        </w:rPr>
        <w:t>. 宋</w:t>
      </w:r>
      <w:r>
        <w:rPr>
          <w:rFonts w:ascii="Times New Roman" w:hAnsi="Times New Roman"/>
          <w:szCs w:val="21"/>
        </w:rPr>
        <w:t>论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. 刻本</w:t>
      </w:r>
      <w:r>
        <w:rPr>
          <w:rFonts w:hint="eastAsia" w:ascii="Times New Roman" w:hAnsi="Times New Roman"/>
          <w:szCs w:val="21"/>
        </w:rPr>
        <w:t>. 金</w:t>
      </w:r>
      <w:r>
        <w:rPr>
          <w:rFonts w:ascii="Times New Roman" w:hAnsi="Times New Roman"/>
          <w:szCs w:val="21"/>
        </w:rPr>
        <w:t>陵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湘乡</w:t>
      </w:r>
      <w:r>
        <w:rPr>
          <w:rFonts w:hint="eastAsia" w:ascii="Times New Roman" w:hAnsi="Times New Roman"/>
          <w:szCs w:val="21"/>
        </w:rPr>
        <w:t xml:space="preserve">曾国荃, </w:t>
      </w:r>
      <w:r>
        <w:rPr>
          <w:rFonts w:ascii="Times New Roman" w:hAnsi="Times New Roman"/>
          <w:szCs w:val="21"/>
        </w:rPr>
        <w:t>1865</w:t>
      </w:r>
      <w:r>
        <w:rPr>
          <w:rFonts w:hint="eastAsia" w:ascii="Times New Roman" w:hAnsi="Times New Roman"/>
          <w:szCs w:val="21"/>
        </w:rPr>
        <w:t>（清</w:t>
      </w:r>
      <w:r>
        <w:rPr>
          <w:rFonts w:ascii="Times New Roman" w:hAnsi="Times New Roman"/>
          <w:szCs w:val="21"/>
        </w:rPr>
        <w:t>同治四年</w:t>
      </w:r>
      <w:r>
        <w:rPr>
          <w:rFonts w:hint="eastAsia" w:ascii="Times New Roman" w:hAnsi="Times New Roman"/>
          <w:szCs w:val="21"/>
        </w:rPr>
        <w:t>）.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[8] 牛志明，斯</w:t>
      </w:r>
      <w:r>
        <w:rPr>
          <w:rFonts w:hint="eastAsia" w:ascii="Times New Roman" w:hAnsi="Times New Roman"/>
          <w:szCs w:val="21"/>
        </w:rPr>
        <w:t>温</w:t>
      </w:r>
      <w:r>
        <w:rPr>
          <w:rFonts w:ascii="Times New Roman" w:hAnsi="Times New Roman"/>
          <w:szCs w:val="21"/>
        </w:rPr>
        <w:t>兰德，</w:t>
      </w:r>
      <w:r>
        <w:rPr>
          <w:rFonts w:hint="eastAsia" w:ascii="Times New Roman" w:hAnsi="Times New Roman"/>
          <w:szCs w:val="21"/>
        </w:rPr>
        <w:t>雷</w:t>
      </w:r>
      <w:r>
        <w:rPr>
          <w:rFonts w:ascii="Times New Roman" w:hAnsi="Times New Roman"/>
          <w:szCs w:val="21"/>
        </w:rPr>
        <w:t>光存．综合湿地管理国际研讨会论文集</w:t>
      </w:r>
      <w:r>
        <w:rPr>
          <w:rFonts w:hint="eastAsia" w:ascii="Times New Roman" w:hAnsi="Times New Roman"/>
          <w:szCs w:val="21"/>
        </w:rPr>
        <w:t xml:space="preserve">[C]. </w:t>
      </w:r>
      <w:r>
        <w:rPr>
          <w:rFonts w:ascii="Times New Roman" w:hAnsi="Times New Roman"/>
          <w:szCs w:val="21"/>
        </w:rPr>
        <w:t>北京：海洋出版</w:t>
      </w:r>
      <w:r>
        <w:rPr>
          <w:rFonts w:hint="eastAsia" w:ascii="Times New Roman" w:hAnsi="Times New Roman"/>
          <w:szCs w:val="21"/>
        </w:rPr>
        <w:t xml:space="preserve">社, </w:t>
      </w:r>
      <w:r>
        <w:rPr>
          <w:rFonts w:ascii="Times New Roman" w:hAnsi="Times New Roman"/>
          <w:szCs w:val="21"/>
        </w:rPr>
        <w:t>2012.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[9]</w:t>
      </w:r>
      <w:r>
        <w:rPr>
          <w:rFonts w:hint="eastAsia" w:ascii="Times New Roman" w:hAnsi="Times New Roman"/>
          <w:szCs w:val="21"/>
        </w:rPr>
        <w:t xml:space="preserve"> 中国</w:t>
      </w:r>
      <w:r>
        <w:rPr>
          <w:rFonts w:ascii="Times New Roman" w:hAnsi="Times New Roman"/>
          <w:szCs w:val="21"/>
        </w:rPr>
        <w:t>第一历史档案馆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辽宁省档案馆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中国明朝</w:t>
      </w:r>
      <w:r>
        <w:rPr>
          <w:rFonts w:hint="eastAsia" w:ascii="Times New Roman" w:hAnsi="Times New Roman"/>
          <w:szCs w:val="21"/>
        </w:rPr>
        <w:t>档案</w:t>
      </w:r>
      <w:r>
        <w:rPr>
          <w:rFonts w:ascii="Times New Roman" w:hAnsi="Times New Roman"/>
          <w:szCs w:val="21"/>
        </w:rPr>
        <w:t>总汇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A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桂林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广</w:t>
      </w:r>
      <w:r>
        <w:rPr>
          <w:rFonts w:hint="eastAsia" w:ascii="Times New Roman" w:hAnsi="Times New Roman"/>
          <w:szCs w:val="21"/>
        </w:rPr>
        <w:t>西</w:t>
      </w:r>
      <w:r>
        <w:rPr>
          <w:rFonts w:ascii="Times New Roman" w:hAnsi="Times New Roman"/>
          <w:szCs w:val="21"/>
        </w:rPr>
        <w:t>师范大学出版社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2001.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[10]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杨保军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新闻道德论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D/OL</w:t>
      </w:r>
      <w:r>
        <w:rPr>
          <w:rFonts w:hint="eastAsia" w:ascii="Times New Roman" w:hAnsi="Times New Roman"/>
          <w:szCs w:val="21"/>
        </w:rPr>
        <w:t>].</w:t>
      </w:r>
      <w:r>
        <w:rPr>
          <w:rFonts w:ascii="Times New Roman" w:hAnsi="Times New Roman"/>
          <w:szCs w:val="21"/>
        </w:rPr>
        <w:t xml:space="preserve"> 北京</w:t>
      </w:r>
      <w:r>
        <w:rPr>
          <w:rFonts w:hint="eastAsia" w:ascii="Times New Roman" w:hAnsi="Times New Roman"/>
          <w:szCs w:val="21"/>
        </w:rPr>
        <w:t>: 中国</w:t>
      </w:r>
      <w:r>
        <w:rPr>
          <w:rFonts w:ascii="Times New Roman" w:hAnsi="Times New Roman"/>
          <w:szCs w:val="21"/>
        </w:rPr>
        <w:t>人民大学出版社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 xml:space="preserve">2010 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2012-11-01].h</w:t>
      </w:r>
      <w:r>
        <w:rPr>
          <w:rFonts w:hint="eastAsia" w:ascii="Times New Roman" w:hAnsi="Times New Roman"/>
          <w:szCs w:val="21"/>
        </w:rPr>
        <w:t>tt</w:t>
      </w:r>
      <w:r>
        <w:rPr>
          <w:rFonts w:ascii="Times New Roman" w:hAnsi="Times New Roman"/>
          <w:szCs w:val="21"/>
        </w:rPr>
        <w:t>p://apabi.lib.pku.edu.en/usp/pku/pub.mvc?pid=book.detail&amp;. metaid=m.20101104-BP0-889-1023&amp;.cull= CN.</w:t>
      </w:r>
    </w:p>
    <w:p>
      <w:pPr>
        <w:tabs>
          <w:tab w:val="left" w:pos="720"/>
        </w:tabs>
        <w:spacing w:line="400" w:lineRule="exact"/>
        <w:ind w:left="850" w:hanging="849" w:hangingChars="354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[11] 赵学功</w:t>
      </w:r>
      <w:r>
        <w:rPr>
          <w:rFonts w:hint="eastAsia" w:ascii="Times New Roman" w:hAnsi="Times New Roman"/>
          <w:szCs w:val="21"/>
        </w:rPr>
        <w:t>.</w:t>
      </w:r>
      <w:r>
        <w:rPr>
          <w:rFonts w:ascii="Times New Roman" w:hAnsi="Times New Roman"/>
          <w:szCs w:val="21"/>
        </w:rPr>
        <w:t>当代</w:t>
      </w:r>
      <w:r>
        <w:rPr>
          <w:rFonts w:hint="eastAsia" w:ascii="Times New Roman" w:hAnsi="Times New Roman"/>
          <w:szCs w:val="21"/>
        </w:rPr>
        <w:t>美国</w:t>
      </w:r>
      <w:r>
        <w:rPr>
          <w:rFonts w:ascii="Times New Roman" w:hAnsi="Times New Roman"/>
          <w:szCs w:val="21"/>
        </w:rPr>
        <w:t>外交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M/OL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. 北京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社会科学文献出版社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2001[2014-06-11]. http: // www.cadal.zju.edu.en/book/trySinglePage/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33023884/1.</w:t>
      </w:r>
    </w:p>
    <w:p>
      <w:pPr>
        <w:tabs>
          <w:tab w:val="left" w:pos="851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[12]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同济大学土木</w:t>
      </w:r>
      <w:r>
        <w:rPr>
          <w:rFonts w:hint="eastAsia" w:ascii="Times New Roman" w:hAnsi="Times New Roman"/>
          <w:szCs w:val="21"/>
        </w:rPr>
        <w:t>工</w:t>
      </w:r>
      <w:r>
        <w:rPr>
          <w:rFonts w:ascii="Times New Roman" w:hAnsi="Times New Roman"/>
          <w:szCs w:val="21"/>
        </w:rPr>
        <w:t>程防灾国家重点实验室</w:t>
      </w:r>
      <w:r>
        <w:rPr>
          <w:rFonts w:hint="eastAsia" w:ascii="Times New Roman" w:hAnsi="Times New Roman"/>
          <w:szCs w:val="21"/>
        </w:rPr>
        <w:t xml:space="preserve">. </w:t>
      </w:r>
      <w:r>
        <w:rPr>
          <w:rFonts w:ascii="Times New Roman" w:hAnsi="Times New Roman"/>
          <w:szCs w:val="21"/>
        </w:rPr>
        <w:t>汶川地震震</w:t>
      </w:r>
      <w:r>
        <w:rPr>
          <w:rFonts w:hint="eastAsia" w:ascii="Times New Roman" w:hAnsi="Times New Roman"/>
          <w:szCs w:val="21"/>
        </w:rPr>
        <w:t>害</w:t>
      </w:r>
      <w:r>
        <w:rPr>
          <w:rFonts w:ascii="Times New Roman" w:hAnsi="Times New Roman"/>
          <w:szCs w:val="21"/>
        </w:rPr>
        <w:t>研究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M/OL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上海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同济大学出版社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2011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5-6</w:t>
      </w:r>
      <w:r>
        <w:rPr>
          <w:rFonts w:hint="eastAsia" w:ascii="Times New Roman" w:hAnsi="Times New Roman"/>
          <w:szCs w:val="21"/>
        </w:rPr>
        <w:t xml:space="preserve"> [</w:t>
      </w:r>
      <w:r>
        <w:rPr>
          <w:rFonts w:ascii="Times New Roman" w:hAnsi="Times New Roman"/>
          <w:szCs w:val="21"/>
        </w:rPr>
        <w:t>2013-05-09].http:</w:t>
      </w:r>
      <w:r>
        <w:rPr>
          <w:rFonts w:hint="eastAsia" w:ascii="Times New Roman" w:hAnsi="Times New Roman"/>
          <w:szCs w:val="21"/>
        </w:rPr>
        <w:t>//</w:t>
      </w:r>
      <w:r>
        <w:rPr>
          <w:rFonts w:ascii="Times New Roman" w:hAnsi="Times New Roman"/>
          <w:szCs w:val="21"/>
        </w:rPr>
        <w:t>apabi.lib. pku.edu.cnlusplpkulpub.mvc?pid=book. detail&amp;.metaid=m.20120406-YPT- 889-0010.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[</w:t>
      </w:r>
      <w:r>
        <w:rPr>
          <w:rFonts w:ascii="Times New Roman" w:hAnsi="Times New Roman"/>
          <w:szCs w:val="21"/>
        </w:rPr>
        <w:t>13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 xml:space="preserve"> 中国造纸学会</w:t>
      </w:r>
      <w:r>
        <w:rPr>
          <w:rFonts w:hint="eastAsia" w:ascii="Times New Roman" w:hAnsi="Times New Roman"/>
          <w:szCs w:val="21"/>
        </w:rPr>
        <w:t>. 中国</w:t>
      </w:r>
      <w:r>
        <w:rPr>
          <w:rFonts w:ascii="Times New Roman" w:hAnsi="Times New Roman"/>
          <w:szCs w:val="21"/>
        </w:rPr>
        <w:t>造纸年鉴：2003 [M</w:t>
      </w:r>
      <w:r>
        <w:rPr>
          <w:rFonts w:hint="eastAsia" w:ascii="Times New Roman" w:hAnsi="Times New Roman"/>
          <w:szCs w:val="21"/>
        </w:rPr>
        <w:t>/</w:t>
      </w:r>
      <w:r>
        <w:rPr>
          <w:rFonts w:ascii="Times New Roman" w:hAnsi="Times New Roman"/>
          <w:szCs w:val="21"/>
        </w:rPr>
        <w:t>OL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>. 北京：中国轻工业出版社，2003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2014-04-25]. http :</w:t>
      </w:r>
      <w:r>
        <w:rPr>
          <w:rFonts w:hint="eastAsia" w:ascii="Times New Roman" w:hAnsi="Times New Roman"/>
          <w:szCs w:val="21"/>
        </w:rPr>
        <w:t>//</w:t>
      </w:r>
      <w:r>
        <w:rPr>
          <w:rFonts w:ascii="Times New Roman" w:hAnsi="Times New Roman"/>
          <w:szCs w:val="21"/>
        </w:rPr>
        <w:t>WWW.cadal.zju.edu.cnlbooklviewl25010080.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[14]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PEEBLES P Z, Jr. Probability, random variable, and random signal principles</w:t>
      </w:r>
      <w:r>
        <w:rPr>
          <w:rFonts w:hint="eastAsia" w:ascii="Times New Roman" w:hAnsi="Times New Roman"/>
          <w:szCs w:val="21"/>
        </w:rPr>
        <w:t>[</w:t>
      </w:r>
      <w:r>
        <w:rPr>
          <w:rFonts w:ascii="Times New Roman" w:hAnsi="Times New Roman"/>
          <w:szCs w:val="21"/>
        </w:rPr>
        <w:t>M</w:t>
      </w:r>
      <w:r>
        <w:rPr>
          <w:rFonts w:hint="eastAsia" w:ascii="Times New Roman" w:hAnsi="Times New Roman"/>
          <w:szCs w:val="21"/>
        </w:rPr>
        <w:t>]</w:t>
      </w:r>
      <w:r>
        <w:rPr>
          <w:rFonts w:ascii="Times New Roman" w:hAnsi="Times New Roman"/>
          <w:szCs w:val="21"/>
        </w:rPr>
        <w:t xml:space="preserve"> . 4th ed. New York: McGraw Hill, 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2001.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[15] YUF</w:t>
      </w:r>
      <w:r>
        <w:rPr>
          <w:rFonts w:hint="eastAsia" w:ascii="Times New Roman" w:hAnsi="Times New Roman"/>
          <w:szCs w:val="21"/>
        </w:rPr>
        <w:t>IN</w:t>
      </w:r>
      <w:r>
        <w:rPr>
          <w:rFonts w:ascii="Times New Roman" w:hAnsi="Times New Roman"/>
          <w:szCs w:val="21"/>
        </w:rPr>
        <w:t xml:space="preserve"> S A. G</w:t>
      </w:r>
      <w:r>
        <w:rPr>
          <w:rFonts w:hint="eastAsia" w:ascii="Times New Roman" w:hAnsi="Times New Roman"/>
          <w:szCs w:val="21"/>
        </w:rPr>
        <w:t>e</w:t>
      </w:r>
      <w:r>
        <w:rPr>
          <w:rFonts w:ascii="Times New Roman" w:hAnsi="Times New Roman"/>
          <w:szCs w:val="21"/>
        </w:rPr>
        <w:t>oecology and computers</w:t>
      </w:r>
      <w:r>
        <w:rPr>
          <w:rFonts w:hint="eastAsia" w:ascii="Times New Roman" w:hAnsi="Times New Roman"/>
          <w:szCs w:val="21"/>
        </w:rPr>
        <w:t xml:space="preserve">: </w:t>
      </w:r>
      <w:r>
        <w:rPr>
          <w:rFonts w:ascii="Times New Roman" w:hAnsi="Times New Roman"/>
          <w:szCs w:val="21"/>
        </w:rPr>
        <w:t>proceedings of the Third International Conference on Advances of Computer Methods in Geotechnical and G</w:t>
      </w:r>
      <w:r>
        <w:rPr>
          <w:rFonts w:hint="eastAsia" w:ascii="Times New Roman" w:hAnsi="Times New Roman"/>
          <w:szCs w:val="21"/>
        </w:rPr>
        <w:t>e</w:t>
      </w:r>
      <w:r>
        <w:rPr>
          <w:rFonts w:ascii="Times New Roman" w:hAnsi="Times New Roman"/>
          <w:szCs w:val="21"/>
        </w:rPr>
        <w:t>oenvironmental Engineering, Moscow, Russia, February 1-4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2000</w:t>
      </w:r>
      <w:r>
        <w:rPr>
          <w:rFonts w:hint="eastAsia" w:ascii="Times New Roman" w:hAnsi="Times New Roman"/>
          <w:szCs w:val="21"/>
        </w:rPr>
        <w:t xml:space="preserve">[C]. </w:t>
      </w:r>
      <w:r>
        <w:rPr>
          <w:rFonts w:ascii="Times New Roman" w:hAnsi="Times New Roman"/>
          <w:szCs w:val="21"/>
        </w:rPr>
        <w:t>Rotterdam</w:t>
      </w:r>
      <w:r>
        <w:rPr>
          <w:rFonts w:hint="eastAsia" w:ascii="Times New Roman" w:hAnsi="Times New Roman"/>
          <w:szCs w:val="21"/>
        </w:rPr>
        <w:t xml:space="preserve">: A. </w:t>
      </w:r>
      <w:r>
        <w:rPr>
          <w:rFonts w:ascii="Times New Roman" w:hAnsi="Times New Roman"/>
          <w:szCs w:val="21"/>
        </w:rPr>
        <w:t>A. Balkema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2000.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[16]BALDOCK P. Developing early childhood services: past, present and future [M</w:t>
      </w:r>
      <w:r>
        <w:rPr>
          <w:rFonts w:hint="eastAsia" w:ascii="Times New Roman" w:hAnsi="Times New Roman"/>
          <w:szCs w:val="21"/>
        </w:rPr>
        <w:t>/</w:t>
      </w:r>
      <w:r>
        <w:rPr>
          <w:rFonts w:ascii="Times New Roman" w:hAnsi="Times New Roman"/>
          <w:szCs w:val="21"/>
        </w:rPr>
        <w:t>OL].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[S.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l.]: Open University Press,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2011: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105 [2012-11-27]. http:lllib.myilibrary.comlOpen.aspx? id= 312377.</w:t>
      </w:r>
    </w:p>
    <w:p>
      <w:pPr>
        <w:tabs>
          <w:tab w:val="left" w:pos="851"/>
        </w:tabs>
        <w:spacing w:line="400" w:lineRule="exact"/>
        <w:ind w:left="850" w:hanging="849" w:hangingChars="354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</w:t>
      </w:r>
      <w:r>
        <w:rPr>
          <w:rFonts w:ascii="Times New Roman" w:hAnsi="Times New Roman"/>
          <w:szCs w:val="21"/>
        </w:rPr>
        <w:t>[17] FAN X, SOMMERS C H. Food irradiation research and technology. 2nd ed. Ames, Iowa: Blackwell Publishing,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2013: 25-26[2014-06-26]. http:</w:t>
      </w:r>
      <w:r>
        <w:rPr>
          <w:rFonts w:hint="eastAsia" w:ascii="Times New Roman" w:hAnsi="Times New Roman"/>
          <w:szCs w:val="21"/>
        </w:rPr>
        <w:t>//</w:t>
      </w:r>
      <w:r>
        <w:rPr>
          <w:rFonts w:ascii="Times New Roman" w:hAnsi="Times New Roman"/>
          <w:szCs w:val="21"/>
        </w:rPr>
        <w:t>onlinelibrary. wiley.comldoi/10.100219781118422557.ch21summary.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2.专著中的析出文献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析出文献主要责任者.析出文献题名[文献类型标志/文献载体标识].析出文献其他责任者∥专著主要责任者.专著题名:其他题名信息.版本项.出版地:出版者,出版年:析出文献的页码[引用日期].获取和访问路径.数字对象唯一标识符.</w:t>
      </w:r>
    </w:p>
    <w:p>
      <w:pPr>
        <w:tabs>
          <w:tab w:val="left" w:pos="720"/>
        </w:tabs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示例：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[1] 周易外传: 卷5[M]∥王夫之. 船山全书: 第6册. 长沙: 岳麓书社, 2011:1109.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</w:t>
      </w:r>
      <w:r>
        <w:rPr>
          <w:rFonts w:ascii="Times" w:hAnsi="Times"/>
          <w:szCs w:val="21"/>
        </w:rPr>
        <w:t>[2]</w:t>
      </w:r>
      <w:r>
        <w:rPr>
          <w:rFonts w:hint="eastAsia" w:ascii="Times" w:hAnsi="Times"/>
          <w:szCs w:val="21"/>
        </w:rPr>
        <w:t xml:space="preserve"> 程根伟. 1998年长江洪水的成因与减灾对策[M]//许厚泽, 赵其国. 长江流域洪涝灾害与科技对策. 北京: 科学出版社, 1999: 32-36.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</w:t>
      </w:r>
      <w:r>
        <w:rPr>
          <w:rFonts w:ascii="Times" w:hAnsi="Times"/>
          <w:szCs w:val="21"/>
        </w:rPr>
        <w:t>[3]</w:t>
      </w:r>
      <w:r>
        <w:rPr>
          <w:rFonts w:hint="eastAsia" w:ascii="Times" w:hAnsi="Times"/>
          <w:szCs w:val="21"/>
        </w:rPr>
        <w:t xml:space="preserve"> 陈晋鏕, 张惠民, 朱士兴, 等. 蓟县震旦亚界研究[M]//中国地质科学院天津地质矿产研究所. 中国震旦亚界. 天津: 天津科学技术出版社, 1980: 56-114.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[4] 马克思. 政治经济学批判[M]//马克思, 恩格斯. 马克思恩格斯全集: 第35卷. 北京: 人民出版社, 2013: 302.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[5] 贾东琴, 柯平. 面向数字素养的高校图书馆数字服务体系研究[C]//中国图书馆学会. 中国图书馆学会年会论文集: 2011卷. 北京: 国家图书馆出版社, 2011: 45-52.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[6] WEINSTEIN L, SWERTZ M N. Pathogenic properties of invading </w:t>
      </w:r>
      <w:r>
        <w:rPr>
          <w:rFonts w:ascii="Times" w:hAnsi="Times"/>
          <w:szCs w:val="21"/>
        </w:rPr>
        <w:t>microorganism[</w:t>
      </w:r>
      <w:r>
        <w:rPr>
          <w:rFonts w:hint="eastAsia" w:ascii="Times" w:hAnsi="Times"/>
          <w:szCs w:val="21"/>
        </w:rPr>
        <w:t xml:space="preserve">M]//SODEMAN W A, Jr, SODEMAN W A. Pathologic physiology: mechanisms of disease. </w:t>
      </w:r>
      <w:r>
        <w:rPr>
          <w:rFonts w:ascii="Times" w:hAnsi="Times"/>
          <w:szCs w:val="21"/>
        </w:rPr>
        <w:t>Philadelphia</w:t>
      </w:r>
      <w:r>
        <w:rPr>
          <w:rFonts w:hint="eastAsia" w:ascii="Times" w:hAnsi="Times"/>
          <w:szCs w:val="21"/>
        </w:rPr>
        <w:t>: Saunders, 1074: 745-772.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[7] ROBERSON J A, BURNESON E G. Drinking water standards, regulations and goals[M/OL]//American Water Works Association. Water quality &amp; treatment: a handbook on drinking water, 6th ed. New York: McGraw-Hill, 2011:1.1-1.36[2012-12-10]. http://lib.mylibrary.com/Open.aspx?id=291430.</w:t>
      </w:r>
    </w:p>
    <w:p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>3. 期刊、报纸中的析出文献</w:t>
      </w:r>
    </w:p>
    <w:p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析出文献主要责任者．析出文献题名[文献类型标识/文献载体标识]．连续出版物题名: 其他题名信息, 年, 卷（期）: 页码[引用日期]. 获取和访问路径. 数字对象唯一标识符. </w:t>
      </w:r>
    </w:p>
    <w:p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>示例：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[1] 袁划来, 陈暂, 肖书海, 等. 蓝田生物群: 一个认识多细胞生物起源和早期演化的新窗口[J]. 科学通报, 2012, 55(34): 3219.</w:t>
      </w:r>
    </w:p>
    <w:p>
      <w:pPr>
        <w:tabs>
          <w:tab w:val="left" w:pos="720"/>
        </w:tabs>
        <w:spacing w:line="400" w:lineRule="exact"/>
        <w:ind w:left="850" w:hanging="849" w:hangingChars="354"/>
        <w:jc w:val="left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[2] 余建斌. 我们的科技一直在追赶: 访中国工程院院长周济[N/OL]. 人民日报, 2013-01-12(2) [2013-03-20].http://paper.people.com.cn/rmrb/html/ 2013-01/12/nw.01l0000rcnmrb_201301l 2_5-02.htm.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[3] 李炳穆．韩国图书馆[J/OL].图书情报工作，2008, 52(6)： 6-12[2013-10- 25].http ://www.docin.com /p-4002 65742.html.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[4]  李幼平, 王莉．循证医学研究方法：附视频[J/OL]. 中华移植杂志(电子版)2010, 4 (3) : 225-228[2014-06-09]. http://www.cqvip.com/ Read/Read.aspx? id= 36658332.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[5] 武丽丽, 华一新, 张亚军, 等．“北斗一号”监控管理网设计与实现[J/ OL]. 测绘科学, 2008, 33(5):8-9[2009-10-25].http://vip.calis.edu.cn/CSTJ/Sear.dll? OPA_CreateDetail. DOI: 10.3771/j.issn.l 009-2307 .2008.05.002.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</w:t>
      </w:r>
      <w:r>
        <w:rPr>
          <w:rFonts w:ascii="Times" w:hAnsi="Times"/>
          <w:szCs w:val="21"/>
        </w:rPr>
        <w:t>[6] K</w:t>
      </w:r>
      <w:r>
        <w:rPr>
          <w:rFonts w:hint="eastAsia" w:ascii="Times" w:hAnsi="Times"/>
          <w:szCs w:val="21"/>
        </w:rPr>
        <w:t>A</w:t>
      </w:r>
      <w:r>
        <w:rPr>
          <w:rFonts w:ascii="Times" w:hAnsi="Times"/>
          <w:szCs w:val="21"/>
        </w:rPr>
        <w:t>NAMORT H. Shaking without quaking [J</w:t>
      </w:r>
      <w:r>
        <w:rPr>
          <w:rFonts w:hint="eastAsia" w:ascii="Times" w:hAnsi="Times"/>
          <w:szCs w:val="21"/>
        </w:rPr>
        <w:t>]</w:t>
      </w:r>
      <w:r>
        <w:rPr>
          <w:rFonts w:ascii="Times" w:hAnsi="Times"/>
          <w:szCs w:val="21"/>
        </w:rPr>
        <w:t>. Science, 1998, 279(5359) : 2063.</w:t>
      </w:r>
    </w:p>
    <w:p>
      <w:pPr>
        <w:tabs>
          <w:tab w:val="left" w:pos="851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[7] CAPLAN P. Cataloging internet resources [J]. The public access computer systems review, 1993, 4(2): 61-66. </w:t>
      </w:r>
    </w:p>
    <w:p>
      <w:pPr>
        <w:tabs>
          <w:tab w:val="left" w:pos="720"/>
        </w:tabs>
        <w:spacing w:line="400" w:lineRule="exact"/>
        <w:ind w:left="850" w:hanging="849" w:hangingChars="354"/>
        <w:jc w:val="left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[8] FRESE K S, KATUS H A, MEDER B. Next-generation sequencing: from understanding biology to personalized medicine [J/OL]. Biology, 2013, 2(1): 378-398 [2013-03-19]. http://www.mdpi.com/2079-7737/2/l/</w:t>
      </w:r>
      <w:r>
        <w:rPr>
          <w:rFonts w:ascii="Times" w:hAnsi="Times"/>
          <w:szCs w:val="21"/>
        </w:rPr>
        <w:t>378.DOI:10.</w:t>
      </w:r>
      <w:r>
        <w:rPr>
          <w:rFonts w:hint="eastAsia" w:ascii="Times" w:hAnsi="Times"/>
          <w:szCs w:val="21"/>
        </w:rPr>
        <w:t xml:space="preserve"> </w:t>
      </w:r>
      <w:r>
        <w:rPr>
          <w:rFonts w:ascii="Times" w:hAnsi="Times"/>
          <w:szCs w:val="21"/>
        </w:rPr>
        <w:t>3390/biology2010378.</w:t>
      </w:r>
    </w:p>
    <w:p>
      <w:pPr>
        <w:tabs>
          <w:tab w:val="left" w:pos="720"/>
        </w:tabs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[9] MYBURG A A, GRATTAPAGLIA D, TUSKAN C A, et al. The genome of Eucalyptus grandis[J/OL]. Nature, 2014, 510: 356-362 (2014-06-19)[2014-06-25]. http: //www.nature.com/nature/journal/ v510/n7505/pd£/nature13308.pdf. DOI :10.1038/naturel3308.</w:t>
      </w:r>
    </w:p>
    <w:p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>4. 专利文献</w:t>
      </w:r>
    </w:p>
    <w:p>
      <w:pPr>
        <w:tabs>
          <w:tab w:val="left" w:pos="720"/>
        </w:tabs>
        <w:spacing w:line="400" w:lineRule="exact"/>
        <w:ind w:firstLine="480"/>
        <w:jc w:val="left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>专利申请者或所有者. 专利题名: 专利号[文献类型标识/文献载体标识]. 公告日期或公开日期[引用日期].获取和访问路径.数字对象唯一标识符.</w:t>
      </w:r>
    </w:p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示例：</w:t>
      </w:r>
    </w:p>
    <w:p>
      <w:pPr>
        <w:spacing w:line="400" w:lineRule="exact"/>
        <w:ind w:firstLine="480"/>
        <w:rPr>
          <w:rFonts w:ascii="Times" w:hAnsi="Times"/>
          <w:szCs w:val="21"/>
        </w:rPr>
      </w:pPr>
      <w:r>
        <w:rPr>
          <w:rFonts w:ascii="Times" w:hAnsi="Times"/>
          <w:szCs w:val="21"/>
        </w:rPr>
        <w:t>[1]</w:t>
      </w:r>
      <w:r>
        <w:rPr>
          <w:rFonts w:hint="eastAsia" w:ascii="Times" w:hAnsi="Times"/>
          <w:szCs w:val="21"/>
        </w:rPr>
        <w:t xml:space="preserve"> 邓一刚. 全智能节电器: 200610171314.3[P]. 2006-12-13.</w:t>
      </w:r>
    </w:p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Times" w:hAnsi="Times"/>
          <w:szCs w:val="21"/>
        </w:rPr>
        <w:t>[2]西安电子科技大学.光折变自适应光外差探测方法： 01128777.2[P/OL].2002-03-06[2002-05-28].http://211.152.9.47/sipoasp/zljs/</w:t>
      </w:r>
    </w:p>
    <w:p>
      <w:pPr>
        <w:tabs>
          <w:tab w:val="left" w:pos="720"/>
        </w:tabs>
        <w:spacing w:line="400" w:lineRule="exact"/>
        <w:ind w:firstLine="480"/>
        <w:rPr>
          <w:rFonts w:ascii="Times" w:hAnsi="Times"/>
          <w:szCs w:val="21"/>
        </w:rPr>
      </w:pPr>
      <w:bookmarkStart w:id="14" w:name="OLE_LINK10"/>
      <w:bookmarkStart w:id="15" w:name="OLE_LINK9"/>
      <w:r>
        <w:rPr>
          <w:rFonts w:hint="eastAsia" w:ascii="Times" w:hAnsi="Times"/>
          <w:szCs w:val="21"/>
        </w:rPr>
        <w:t>5. 电子文献</w:t>
      </w:r>
    </w:p>
    <w:p>
      <w:pPr>
        <w:spacing w:line="400" w:lineRule="exact"/>
        <w:ind w:firstLine="480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>主要责任者．题名：其他题名信息[文献类型标识/文献载体标识].出版地：出版者, 出版年: 引文页码〈更新或修改日期）引用日期．获取和访问路径．数字对象唯一标识符．</w:t>
      </w:r>
    </w:p>
    <w:p>
      <w:pPr>
        <w:spacing w:line="400" w:lineRule="exact"/>
        <w:ind w:firstLine="480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>示例：</w:t>
      </w:r>
    </w:p>
    <w:p>
      <w:pPr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[1] 中国互联网络信息中心. 第四次中国互联网络发展现状统计报告[R/OL]. (2012-01-16)[2013-03-26].http://www.cnnic.net.en/hlwfayj/hiwxzbg/201201/P02012070935264469680.pdf.</w:t>
      </w:r>
    </w:p>
    <w:p>
      <w:pPr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[2] 北京市人民政府办公厅. 关于转发北京市企业投资项目核准暂行实施办法的通知: 京政办发[2005]37号[A/</w:t>
      </w:r>
      <w:r>
        <w:rPr>
          <w:rFonts w:ascii="Times" w:hAnsi="Times"/>
          <w:szCs w:val="21"/>
        </w:rPr>
        <w:t>OL].</w:t>
      </w:r>
      <w:r>
        <w:rPr>
          <w:rFonts w:hint="eastAsia" w:ascii="Times" w:hAnsi="Times"/>
          <w:szCs w:val="21"/>
        </w:rPr>
        <w:t xml:space="preserve"> </w:t>
      </w:r>
      <w:r>
        <w:rPr>
          <w:rFonts w:ascii="Times" w:hAnsi="Times"/>
          <w:szCs w:val="21"/>
        </w:rPr>
        <w:t>(2005-07-12)(2011-07-12]. http://china.findlaw.cn/fagui/ pl/39934.html.</w:t>
      </w:r>
    </w:p>
    <w:p>
      <w:pPr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[3] BAWDEN D. Origins and concepts of digital literacy[EB/OL]. (2008-05-04)[2013-03-08]. http://www.soi.city.ac.uk／～dbawden/digital% 20literacy%20chapter.pdf.</w:t>
      </w:r>
    </w:p>
    <w:p>
      <w:pPr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[4] Online Computer Library Center, Inc. About OCLC: history of cooperation[EB/OL]. [2012-03-27]. http://www.oclc.org/ about/cooperation. en.html.</w:t>
      </w:r>
    </w:p>
    <w:p>
      <w:pPr>
        <w:spacing w:line="400" w:lineRule="exact"/>
        <w:ind w:left="850" w:hanging="849" w:hangingChars="354"/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 xml:space="preserve">    [5]</w:t>
      </w:r>
      <w:r>
        <w:rPr>
          <w:rFonts w:hint="eastAsia" w:ascii="Times" w:hAnsi="Times"/>
          <w:szCs w:val="21"/>
        </w:rPr>
        <w:tab/>
      </w:r>
      <w:r>
        <w:rPr>
          <w:rFonts w:hint="eastAsia" w:ascii="Times" w:hAnsi="Times"/>
          <w:szCs w:val="21"/>
        </w:rPr>
        <w:t>HOPKINSON A. UNIMARC and metadata: Dublin core [EB/OL]. (2009-04-22) [2013-03-27]. http: // archive.ifla.org/  IV/ifla64I 138-161e.htm.</w:t>
      </w:r>
    </w:p>
    <w:p>
      <w:pPr>
        <w:spacing w:line="400" w:lineRule="exact"/>
        <w:rPr>
          <w:rFonts w:ascii="宋体" w:hAnsi="宋体"/>
          <w:szCs w:val="21"/>
        </w:rPr>
      </w:pPr>
    </w:p>
    <w:bookmarkEnd w:id="14"/>
    <w:bookmarkEnd w:id="15"/>
    <w:p>
      <w:pPr>
        <w:spacing w:line="400" w:lineRule="exact"/>
        <w:ind w:firstLine="480"/>
        <w:rPr>
          <w:rFonts w:ascii="宋体" w:hAnsi="宋体"/>
          <w:szCs w:val="21"/>
        </w:rPr>
      </w:pPr>
      <w:r>
        <w:rPr>
          <w:rFonts w:hint="eastAsia" w:ascii="黑体" w:hAnsi="黑体" w:eastAsia="黑体"/>
          <w:sz w:val="28"/>
          <w:szCs w:val="28"/>
        </w:rPr>
        <w:t xml:space="preserve">   </w:t>
      </w:r>
    </w:p>
    <w:p>
      <w:pPr>
        <w:spacing w:line="380" w:lineRule="exact"/>
        <w:ind w:firstLine="480"/>
        <w:rPr>
          <w:rFonts w:ascii="宋体" w:hAnsi="宋体"/>
          <w:szCs w:val="21"/>
        </w:rPr>
      </w:pPr>
    </w:p>
    <w:p/>
    <w:sectPr>
      <w:footerReference r:id="rId3" w:type="default"/>
      <w:footerReference r:id="rId4" w:type="even"/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New time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-1569338356"/>
      <w:docPartObj>
        <w:docPartGallery w:val="autotext"/>
      </w:docPartObj>
    </w:sdtPr>
    <w:sdtEndPr>
      <w:rPr>
        <w:rStyle w:val="5"/>
      </w:rPr>
    </w:sdtEndPr>
    <w:sdtContent>
      <w:p>
        <w:pPr>
          <w:pStyle w:val="2"/>
          <w:framePr w:wrap="around" w:vAnchor="text" w:hAnchor="margin" w:xAlign="center" w:y="1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separate"/>
        </w:r>
        <w:r>
          <w:rPr>
            <w:rStyle w:val="5"/>
          </w:rPr>
          <w:t>1</w:t>
        </w:r>
        <w:r>
          <w:rPr>
            <w:rStyle w:val="5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5"/>
      </w:rPr>
      <w:id w:val="-1636550426"/>
      <w:docPartObj>
        <w:docPartGallery w:val="autotext"/>
      </w:docPartObj>
    </w:sdtPr>
    <w:sdtEndPr>
      <w:rPr>
        <w:rStyle w:val="5"/>
      </w:rPr>
    </w:sdtEndPr>
    <w:sdtContent>
      <w:p>
        <w:pPr>
          <w:pStyle w:val="2"/>
          <w:framePr w:wrap="around" w:vAnchor="text" w:hAnchor="margin" w:xAlign="center" w:y="1"/>
          <w:rPr>
            <w:rStyle w:val="5"/>
          </w:rPr>
        </w:pPr>
        <w:r>
          <w:rPr>
            <w:rStyle w:val="5"/>
          </w:rPr>
          <w:fldChar w:fldCharType="begin"/>
        </w:r>
        <w:r>
          <w:rPr>
            <w:rStyle w:val="5"/>
          </w:rPr>
          <w:instrText xml:space="preserve"> PAGE </w:instrText>
        </w:r>
        <w:r>
          <w:rPr>
            <w:rStyle w:val="5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C33E"/>
    <w:multiLevelType w:val="singleLevel"/>
    <w:tmpl w:val="2468C33E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92"/>
    <w:rsid w:val="00191E5B"/>
    <w:rsid w:val="004222F0"/>
    <w:rsid w:val="005F427E"/>
    <w:rsid w:val="007B3227"/>
    <w:rsid w:val="00844592"/>
    <w:rsid w:val="008F66C2"/>
    <w:rsid w:val="009C0C87"/>
    <w:rsid w:val="00D65144"/>
    <w:rsid w:val="00DE3497"/>
    <w:rsid w:val="1D8A3ACB"/>
    <w:rsid w:val="30161276"/>
    <w:rsid w:val="3CE35699"/>
    <w:rsid w:val="3F5B586C"/>
    <w:rsid w:val="518E38DB"/>
    <w:rsid w:val="51B53693"/>
    <w:rsid w:val="5B41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nhideWhenUsed/>
    <w:qFormat/>
    <w:uiPriority w:val="99"/>
  </w:style>
  <w:style w:type="character" w:customStyle="1" w:styleId="6">
    <w:name w:val="Footer Char"/>
    <w:basedOn w:val="4"/>
    <w:link w:val="2"/>
    <w:qFormat/>
    <w:uiPriority w:val="99"/>
    <w:rPr>
      <w:rFonts w:ascii="Cambria" w:hAnsi="Cambria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1035</Words>
  <Characters>5903</Characters>
  <Lines>49</Lines>
  <Paragraphs>13</Paragraphs>
  <TotalTime>4</TotalTime>
  <ScaleCrop>false</ScaleCrop>
  <LinksUpToDate>false</LinksUpToDate>
  <CharactersWithSpaces>6925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2019-11-27T16:56:00Z</dcterms:created>
  <dc:creator>Microsoft Office User</dc:creator>
  <cp:lastModifiedBy>Administrator</cp:lastModifiedBy>
  <cp:lastPrinted>2021-10-15T03:56:00Z</cp:lastPrinted>
  <dcterms:modified xsi:type="dcterms:W3CDTF">2021-10-15T12:54:25Z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