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华文仿宋" w:hAnsi="华文仿宋" w:eastAsia="华文仿宋" w:cs="华文仿宋"/>
          <w:b/>
          <w:sz w:val="32"/>
          <w:szCs w:val="22"/>
          <w:lang w:eastAsia="zh-CN"/>
        </w:rPr>
      </w:pPr>
      <w:r>
        <w:rPr>
          <w:rFonts w:hint="eastAsia" w:ascii="华文仿宋" w:hAnsi="华文仿宋" w:eastAsia="华文仿宋" w:cs="华文仿宋"/>
          <w:b/>
          <w:sz w:val="32"/>
          <w:szCs w:val="22"/>
          <w:lang w:eastAsia="zh-CN"/>
        </w:rPr>
        <w:t>附件：</w:t>
      </w:r>
    </w:p>
    <w:p>
      <w:pPr>
        <w:spacing w:line="360" w:lineRule="auto"/>
        <w:jc w:val="center"/>
        <w:rPr>
          <w:rFonts w:hint="eastAsia" w:ascii="华文中宋" w:hAnsi="华文中宋" w:eastAsia="华文中宋" w:cs="华文中宋"/>
          <w:b/>
          <w:bCs/>
          <w:kern w:val="2"/>
          <w:sz w:val="36"/>
          <w:szCs w:val="36"/>
          <w:lang w:val="en-US" w:eastAsia="zh-CN" w:bidi="ar-SA"/>
        </w:rPr>
      </w:pPr>
      <w:r>
        <w:rPr>
          <w:rFonts w:hint="eastAsia" w:ascii="华文中宋" w:hAnsi="华文中宋" w:eastAsia="华文中宋" w:cs="华文中宋"/>
          <w:b/>
          <w:bCs/>
          <w:kern w:val="2"/>
          <w:sz w:val="36"/>
          <w:szCs w:val="36"/>
          <w:lang w:val="en-US" w:eastAsia="zh-CN" w:bidi="ar-SA"/>
        </w:rPr>
        <w:t>《2018年高等学校实验室安全检查项目表》</w:t>
      </w:r>
    </w:p>
    <w:p>
      <w:pPr>
        <w:spacing w:line="360" w:lineRule="auto"/>
        <w:jc w:val="center"/>
        <w:rPr>
          <w:rFonts w:hint="eastAsia" w:ascii="华文中宋" w:hAnsi="华文中宋" w:eastAsia="华文中宋" w:cs="华文中宋"/>
          <w:b/>
          <w:bCs/>
          <w:sz w:val="36"/>
          <w:szCs w:val="36"/>
        </w:rPr>
      </w:pPr>
      <w:r>
        <w:rPr>
          <w:rFonts w:hint="eastAsia" w:ascii="华文中宋" w:hAnsi="华文中宋" w:eastAsia="华文中宋" w:cs="华文中宋"/>
          <w:b/>
          <w:bCs/>
          <w:kern w:val="2"/>
          <w:sz w:val="36"/>
          <w:szCs w:val="36"/>
          <w:lang w:val="en-US" w:eastAsia="zh-CN" w:bidi="ar-SA"/>
        </w:rPr>
        <w:t>条款分级及检</w:t>
      </w:r>
      <w:bookmarkStart w:id="0" w:name="_GoBack"/>
      <w:bookmarkEnd w:id="0"/>
      <w:r>
        <w:rPr>
          <w:rFonts w:hint="eastAsia" w:ascii="华文中宋" w:hAnsi="华文中宋" w:eastAsia="华文中宋" w:cs="华文中宋"/>
          <w:b/>
          <w:bCs/>
          <w:kern w:val="2"/>
          <w:sz w:val="36"/>
          <w:szCs w:val="36"/>
          <w:lang w:val="en-US" w:eastAsia="zh-CN" w:bidi="ar-SA"/>
        </w:rPr>
        <w:t>查结果分级方案</w:t>
      </w:r>
    </w:p>
    <w:p>
      <w:pPr>
        <w:spacing w:before="156" w:beforeLines="50" w:line="500" w:lineRule="exact"/>
        <w:ind w:firstLine="560" w:firstLineChars="200"/>
        <w:rPr>
          <w:rFonts w:ascii="仿宋" w:hAnsi="仿宋" w:eastAsia="仿宋"/>
          <w:sz w:val="28"/>
          <w:szCs w:val="24"/>
        </w:rPr>
      </w:pPr>
      <w:r>
        <w:rPr>
          <w:rFonts w:hint="eastAsia" w:ascii="仿宋" w:hAnsi="仿宋" w:eastAsia="仿宋"/>
          <w:sz w:val="28"/>
          <w:szCs w:val="24"/>
        </w:rPr>
        <w:t>为了提升</w:t>
      </w:r>
      <w:r>
        <w:rPr>
          <w:rFonts w:ascii="仿宋" w:hAnsi="仿宋" w:eastAsia="仿宋"/>
          <w:sz w:val="28"/>
          <w:szCs w:val="24"/>
        </w:rPr>
        <w:t>实验室安全检查的严肃性</w:t>
      </w:r>
      <w:r>
        <w:rPr>
          <w:rFonts w:hint="eastAsia" w:ascii="仿宋" w:hAnsi="仿宋" w:eastAsia="仿宋"/>
          <w:sz w:val="28"/>
          <w:szCs w:val="24"/>
        </w:rPr>
        <w:t>和</w:t>
      </w:r>
      <w:r>
        <w:rPr>
          <w:rFonts w:ascii="仿宋" w:hAnsi="仿宋" w:eastAsia="仿宋"/>
          <w:sz w:val="28"/>
          <w:szCs w:val="24"/>
        </w:rPr>
        <w:t>有效性</w:t>
      </w:r>
      <w:r>
        <w:rPr>
          <w:rFonts w:hint="eastAsia" w:ascii="仿宋" w:hAnsi="仿宋" w:eastAsia="仿宋"/>
          <w:sz w:val="28"/>
          <w:szCs w:val="24"/>
        </w:rPr>
        <w:t>，扎扎实实</w:t>
      </w:r>
      <w:r>
        <w:rPr>
          <w:rFonts w:ascii="仿宋" w:hAnsi="仿宋" w:eastAsia="仿宋"/>
          <w:sz w:val="28"/>
          <w:szCs w:val="24"/>
        </w:rPr>
        <w:t>推进高校</w:t>
      </w:r>
      <w:r>
        <w:rPr>
          <w:rFonts w:hint="eastAsia" w:ascii="仿宋" w:hAnsi="仿宋" w:eastAsia="仿宋"/>
          <w:sz w:val="28"/>
          <w:szCs w:val="24"/>
        </w:rPr>
        <w:t>实验室</w:t>
      </w:r>
      <w:r>
        <w:rPr>
          <w:rFonts w:ascii="仿宋" w:hAnsi="仿宋" w:eastAsia="仿宋"/>
          <w:sz w:val="28"/>
          <w:szCs w:val="24"/>
        </w:rPr>
        <w:t>安全</w:t>
      </w:r>
      <w:r>
        <w:rPr>
          <w:rFonts w:hint="eastAsia" w:ascii="仿宋" w:hAnsi="仿宋" w:eastAsia="仿宋"/>
          <w:sz w:val="28"/>
          <w:szCs w:val="24"/>
        </w:rPr>
        <w:t>管理</w:t>
      </w:r>
      <w:r>
        <w:rPr>
          <w:rFonts w:ascii="仿宋" w:hAnsi="仿宋" w:eastAsia="仿宋"/>
          <w:sz w:val="28"/>
          <w:szCs w:val="24"/>
        </w:rPr>
        <w:t>和预防工作</w:t>
      </w:r>
      <w:r>
        <w:rPr>
          <w:rFonts w:hint="eastAsia" w:ascii="仿宋" w:hAnsi="仿宋" w:eastAsia="仿宋"/>
          <w:sz w:val="28"/>
          <w:szCs w:val="24"/>
        </w:rPr>
        <w:t>，</w:t>
      </w:r>
      <w:r>
        <w:rPr>
          <w:rFonts w:hint="eastAsia" w:ascii="仿宋" w:hAnsi="仿宋" w:eastAsia="仿宋"/>
          <w:sz w:val="28"/>
          <w:szCs w:val="24"/>
          <w:lang w:eastAsia="zh-CN"/>
        </w:rPr>
        <w:t>对检查条款和</w:t>
      </w:r>
      <w:r>
        <w:rPr>
          <w:rFonts w:ascii="仿宋" w:hAnsi="仿宋" w:eastAsia="仿宋"/>
          <w:sz w:val="28"/>
          <w:szCs w:val="24"/>
        </w:rPr>
        <w:t>检查结果</w:t>
      </w:r>
      <w:r>
        <w:rPr>
          <w:rFonts w:hint="eastAsia" w:ascii="仿宋" w:hAnsi="仿宋" w:eastAsia="仿宋"/>
          <w:sz w:val="28"/>
          <w:szCs w:val="24"/>
          <w:lang w:eastAsia="zh-CN"/>
        </w:rPr>
        <w:t>进行了分级</w:t>
      </w:r>
      <w:r>
        <w:rPr>
          <w:rFonts w:ascii="仿宋" w:hAnsi="仿宋" w:eastAsia="仿宋"/>
          <w:sz w:val="28"/>
          <w:szCs w:val="24"/>
        </w:rPr>
        <w:t>。</w:t>
      </w:r>
    </w:p>
    <w:p>
      <w:pPr>
        <w:spacing w:before="156" w:beforeLines="50" w:line="500" w:lineRule="exact"/>
        <w:ind w:firstLine="602" w:firstLineChars="200"/>
        <w:jc w:val="left"/>
        <w:rPr>
          <w:rFonts w:hint="eastAsia" w:ascii="仿宋" w:hAnsi="仿宋" w:eastAsia="仿宋"/>
          <w:b/>
          <w:sz w:val="30"/>
          <w:szCs w:val="30"/>
          <w:lang w:eastAsia="zh-CN"/>
        </w:rPr>
      </w:pPr>
      <w:r>
        <w:rPr>
          <w:rFonts w:hint="eastAsia" w:ascii="仿宋" w:hAnsi="仿宋" w:eastAsia="仿宋"/>
          <w:b/>
          <w:sz w:val="30"/>
          <w:szCs w:val="30"/>
          <w:lang w:val="en-US" w:eastAsia="zh-CN"/>
        </w:rPr>
        <w:t>1</w:t>
      </w:r>
      <w:r>
        <w:rPr>
          <w:rFonts w:hint="eastAsia" w:ascii="仿宋" w:hAnsi="仿宋" w:eastAsia="仿宋"/>
          <w:b/>
          <w:sz w:val="30"/>
          <w:szCs w:val="30"/>
        </w:rPr>
        <w:t>.安全</w:t>
      </w:r>
      <w:r>
        <w:rPr>
          <w:rFonts w:ascii="仿宋" w:hAnsi="仿宋" w:eastAsia="仿宋"/>
          <w:b/>
          <w:sz w:val="30"/>
          <w:szCs w:val="30"/>
        </w:rPr>
        <w:t>检查</w:t>
      </w:r>
      <w:r>
        <w:rPr>
          <w:rFonts w:hint="eastAsia" w:ascii="仿宋" w:hAnsi="仿宋" w:eastAsia="仿宋"/>
          <w:b/>
          <w:sz w:val="30"/>
          <w:szCs w:val="30"/>
          <w:lang w:eastAsia="zh-CN"/>
        </w:rPr>
        <w:t>条款分级</w:t>
      </w:r>
    </w:p>
    <w:p>
      <w:pPr>
        <w:spacing w:line="500" w:lineRule="exact"/>
        <w:ind w:firstLine="560" w:firstLineChars="200"/>
        <w:jc w:val="left"/>
        <w:rPr>
          <w:rFonts w:ascii="仿宋" w:hAnsi="仿宋" w:eastAsia="仿宋"/>
          <w:sz w:val="28"/>
          <w:szCs w:val="24"/>
        </w:rPr>
      </w:pPr>
      <w:r>
        <w:rPr>
          <w:rFonts w:hint="eastAsia" w:ascii="仿宋" w:hAnsi="仿宋" w:eastAsia="仿宋"/>
          <w:sz w:val="28"/>
          <w:szCs w:val="24"/>
        </w:rPr>
        <w:t>根据《2018高等学校实验室安全检查项目表》35</w:t>
      </w:r>
      <w:r>
        <w:rPr>
          <w:rFonts w:ascii="仿宋" w:hAnsi="仿宋" w:eastAsia="仿宋"/>
          <w:sz w:val="28"/>
          <w:szCs w:val="24"/>
        </w:rPr>
        <w:t>8</w:t>
      </w:r>
      <w:r>
        <w:rPr>
          <w:rFonts w:hint="eastAsia" w:ascii="仿宋" w:hAnsi="仿宋" w:eastAsia="仿宋"/>
          <w:sz w:val="28"/>
          <w:szCs w:val="24"/>
        </w:rPr>
        <w:t>条款</w:t>
      </w:r>
      <w:r>
        <w:rPr>
          <w:rFonts w:ascii="仿宋" w:hAnsi="仿宋" w:eastAsia="仿宋"/>
          <w:sz w:val="28"/>
          <w:szCs w:val="24"/>
        </w:rPr>
        <w:t>，</w:t>
      </w:r>
      <w:r>
        <w:rPr>
          <w:rFonts w:hint="eastAsia" w:ascii="仿宋" w:hAnsi="仿宋" w:eastAsia="仿宋"/>
          <w:sz w:val="28"/>
          <w:szCs w:val="24"/>
        </w:rPr>
        <w:t>按照重要性、导向</w:t>
      </w:r>
      <w:r>
        <w:rPr>
          <w:rFonts w:ascii="仿宋" w:hAnsi="仿宋" w:eastAsia="仿宋"/>
          <w:sz w:val="28"/>
          <w:szCs w:val="24"/>
        </w:rPr>
        <w:t>性</w:t>
      </w:r>
      <w:r>
        <w:rPr>
          <w:rFonts w:hint="eastAsia" w:ascii="仿宋" w:hAnsi="仿宋" w:eastAsia="仿宋"/>
          <w:sz w:val="28"/>
          <w:szCs w:val="24"/>
        </w:rPr>
        <w:t>情况进行星级划分，其中</w:t>
      </w:r>
      <w:r>
        <w:rPr>
          <w:rFonts w:ascii="仿宋" w:hAnsi="仿宋" w:eastAsia="仿宋"/>
          <w:sz w:val="28"/>
          <w:szCs w:val="24"/>
        </w:rPr>
        <w:t>三星</w:t>
      </w:r>
      <w:r>
        <w:rPr>
          <w:rFonts w:hint="eastAsia" w:ascii="仿宋" w:hAnsi="仿宋" w:eastAsia="仿宋"/>
          <w:sz w:val="28"/>
          <w:szCs w:val="24"/>
        </w:rPr>
        <w:t>“***”5个，表示</w:t>
      </w:r>
      <w:r>
        <w:rPr>
          <w:rFonts w:ascii="仿宋" w:hAnsi="仿宋" w:eastAsia="仿宋"/>
          <w:sz w:val="28"/>
          <w:szCs w:val="24"/>
        </w:rPr>
        <w:t>非常重</w:t>
      </w:r>
      <w:r>
        <w:rPr>
          <w:rFonts w:hint="eastAsia" w:ascii="仿宋" w:hAnsi="仿宋" w:eastAsia="仿宋"/>
          <w:sz w:val="28"/>
          <w:szCs w:val="24"/>
        </w:rPr>
        <w:t>要</w:t>
      </w:r>
      <w:r>
        <w:rPr>
          <w:rFonts w:ascii="仿宋" w:hAnsi="仿宋" w:eastAsia="仿宋"/>
          <w:sz w:val="28"/>
          <w:szCs w:val="24"/>
        </w:rPr>
        <w:t>，</w:t>
      </w:r>
      <w:r>
        <w:rPr>
          <w:rFonts w:hint="eastAsia" w:ascii="仿宋" w:hAnsi="仿宋" w:eastAsia="仿宋"/>
          <w:sz w:val="28"/>
          <w:szCs w:val="24"/>
        </w:rPr>
        <w:t>属于</w:t>
      </w:r>
      <w:r>
        <w:rPr>
          <w:rFonts w:ascii="仿宋" w:hAnsi="仿宋" w:eastAsia="仿宋"/>
          <w:sz w:val="28"/>
          <w:szCs w:val="24"/>
        </w:rPr>
        <w:t>底线，必须符合</w:t>
      </w:r>
      <w:r>
        <w:rPr>
          <w:rFonts w:hint="eastAsia" w:ascii="仿宋" w:hAnsi="仿宋" w:eastAsia="仿宋"/>
          <w:sz w:val="28"/>
          <w:szCs w:val="24"/>
        </w:rPr>
        <w:t>；二星“**”25个，属于</w:t>
      </w:r>
      <w:r>
        <w:rPr>
          <w:rFonts w:ascii="仿宋" w:hAnsi="仿宋" w:eastAsia="仿宋"/>
          <w:sz w:val="28"/>
          <w:szCs w:val="24"/>
        </w:rPr>
        <w:t>很重要的条款，</w:t>
      </w:r>
      <w:r>
        <w:rPr>
          <w:rFonts w:hint="eastAsia" w:ascii="仿宋" w:hAnsi="仿宋" w:eastAsia="仿宋"/>
          <w:sz w:val="28"/>
          <w:szCs w:val="24"/>
        </w:rPr>
        <w:t>有严肃</w:t>
      </w:r>
      <w:r>
        <w:rPr>
          <w:rFonts w:ascii="仿宋" w:hAnsi="仿宋" w:eastAsia="仿宋"/>
          <w:sz w:val="28"/>
          <w:szCs w:val="24"/>
        </w:rPr>
        <w:t>性和导向性；</w:t>
      </w:r>
      <w:r>
        <w:rPr>
          <w:rFonts w:hint="eastAsia" w:ascii="仿宋" w:hAnsi="仿宋" w:eastAsia="仿宋"/>
          <w:sz w:val="28"/>
          <w:szCs w:val="24"/>
        </w:rPr>
        <w:t>一星“*”78个，属于</w:t>
      </w:r>
      <w:r>
        <w:rPr>
          <w:rFonts w:ascii="仿宋" w:hAnsi="仿宋" w:eastAsia="仿宋"/>
          <w:sz w:val="28"/>
          <w:szCs w:val="24"/>
        </w:rPr>
        <w:t>比较重要</w:t>
      </w:r>
      <w:r>
        <w:rPr>
          <w:rFonts w:hint="eastAsia" w:ascii="仿宋" w:hAnsi="仿宋" w:eastAsia="仿宋"/>
          <w:sz w:val="28"/>
          <w:szCs w:val="24"/>
          <w:lang w:eastAsia="zh-CN"/>
        </w:rPr>
        <w:t>的条款（</w:t>
      </w:r>
      <w:r>
        <w:rPr>
          <w:rFonts w:hint="eastAsia" w:ascii="仿宋" w:hAnsi="仿宋" w:eastAsia="仿宋"/>
          <w:sz w:val="28"/>
          <w:szCs w:val="24"/>
        </w:rPr>
        <w:t>见</w:t>
      </w:r>
      <w:r>
        <w:rPr>
          <w:rFonts w:hint="eastAsia" w:ascii="仿宋" w:hAnsi="仿宋" w:eastAsia="仿宋"/>
          <w:b w:val="0"/>
          <w:bCs w:val="0"/>
          <w:sz w:val="28"/>
          <w:szCs w:val="24"/>
        </w:rPr>
        <w:t>表</w:t>
      </w:r>
      <w:r>
        <w:rPr>
          <w:rFonts w:hint="eastAsia" w:ascii="仿宋" w:hAnsi="仿宋" w:eastAsia="仿宋"/>
          <w:b w:val="0"/>
          <w:bCs w:val="0"/>
          <w:sz w:val="28"/>
          <w:szCs w:val="24"/>
          <w:lang w:val="en-US" w:eastAsia="zh-CN"/>
        </w:rPr>
        <w:t>1</w:t>
      </w:r>
      <w:r>
        <w:rPr>
          <w:rFonts w:hint="eastAsia" w:ascii="仿宋" w:hAnsi="仿宋" w:eastAsia="仿宋"/>
          <w:sz w:val="28"/>
          <w:szCs w:val="24"/>
          <w:lang w:eastAsia="zh-CN"/>
        </w:rPr>
        <w:t>）《》</w:t>
      </w:r>
      <w:r>
        <w:rPr>
          <w:rFonts w:ascii="仿宋" w:hAnsi="仿宋" w:eastAsia="仿宋"/>
          <w:sz w:val="28"/>
          <w:szCs w:val="24"/>
        </w:rPr>
        <w:t>。</w:t>
      </w:r>
    </w:p>
    <w:p>
      <w:pPr>
        <w:spacing w:line="500" w:lineRule="exact"/>
        <w:ind w:firstLine="560" w:firstLineChars="200"/>
        <w:jc w:val="left"/>
        <w:rPr>
          <w:rFonts w:ascii="仿宋" w:hAnsi="仿宋" w:eastAsia="仿宋"/>
          <w:b/>
          <w:sz w:val="30"/>
          <w:szCs w:val="30"/>
        </w:rPr>
      </w:pPr>
      <w:r>
        <w:rPr>
          <w:rFonts w:hint="eastAsia" w:ascii="仿宋" w:hAnsi="仿宋" w:eastAsia="仿宋"/>
          <w:sz w:val="28"/>
          <w:szCs w:val="24"/>
        </w:rPr>
        <w:t>没有</w:t>
      </w:r>
      <w:r>
        <w:rPr>
          <w:rFonts w:ascii="仿宋" w:hAnsi="仿宋" w:eastAsia="仿宋"/>
          <w:sz w:val="28"/>
          <w:szCs w:val="24"/>
        </w:rPr>
        <w:t>星号的条款</w:t>
      </w:r>
      <w:r>
        <w:rPr>
          <w:rFonts w:hint="eastAsia" w:ascii="仿宋" w:hAnsi="仿宋" w:eastAsia="仿宋"/>
          <w:sz w:val="28"/>
          <w:szCs w:val="24"/>
        </w:rPr>
        <w:t>，</w:t>
      </w:r>
      <w:r>
        <w:rPr>
          <w:rFonts w:ascii="仿宋" w:hAnsi="仿宋" w:eastAsia="仿宋"/>
          <w:sz w:val="28"/>
          <w:szCs w:val="24"/>
        </w:rPr>
        <w:t>依然是高校实验室</w:t>
      </w:r>
      <w:r>
        <w:rPr>
          <w:rFonts w:hint="eastAsia" w:ascii="仿宋" w:hAnsi="仿宋" w:eastAsia="仿宋"/>
          <w:sz w:val="28"/>
          <w:szCs w:val="24"/>
        </w:rPr>
        <w:t>需</w:t>
      </w:r>
      <w:r>
        <w:rPr>
          <w:rFonts w:ascii="仿宋" w:hAnsi="仿宋" w:eastAsia="仿宋"/>
          <w:sz w:val="28"/>
          <w:szCs w:val="24"/>
        </w:rPr>
        <w:t>做好的方方面面</w:t>
      </w:r>
      <w:r>
        <w:rPr>
          <w:rFonts w:hint="eastAsia" w:ascii="仿宋" w:hAnsi="仿宋" w:eastAsia="仿宋"/>
          <w:sz w:val="28"/>
          <w:szCs w:val="24"/>
        </w:rPr>
        <w:t>，现场</w:t>
      </w:r>
      <w:r>
        <w:rPr>
          <w:rFonts w:ascii="仿宋" w:hAnsi="仿宋" w:eastAsia="仿宋"/>
          <w:sz w:val="28"/>
          <w:szCs w:val="24"/>
        </w:rPr>
        <w:t>检查时也会抽查，不可忽视。</w:t>
      </w:r>
    </w:p>
    <w:p>
      <w:pPr>
        <w:spacing w:before="156" w:beforeLines="50" w:line="500" w:lineRule="exact"/>
        <w:ind w:firstLine="602" w:firstLineChars="200"/>
        <w:rPr>
          <w:rFonts w:hint="eastAsia" w:ascii="仿宋" w:hAnsi="仿宋" w:eastAsia="仿宋"/>
          <w:b/>
          <w:sz w:val="30"/>
          <w:szCs w:val="30"/>
          <w:lang w:eastAsia="zh-CN"/>
        </w:rPr>
      </w:pPr>
      <w:r>
        <w:rPr>
          <w:rFonts w:hint="eastAsia" w:ascii="仿宋" w:hAnsi="仿宋" w:eastAsia="仿宋"/>
          <w:b/>
          <w:sz w:val="30"/>
          <w:szCs w:val="30"/>
          <w:lang w:val="en-US" w:eastAsia="zh-CN"/>
        </w:rPr>
        <w:t>2</w:t>
      </w:r>
      <w:r>
        <w:rPr>
          <w:rFonts w:ascii="仿宋" w:hAnsi="仿宋" w:eastAsia="仿宋"/>
          <w:b/>
          <w:sz w:val="30"/>
          <w:szCs w:val="30"/>
        </w:rPr>
        <w:t>.</w:t>
      </w:r>
      <w:r>
        <w:rPr>
          <w:rFonts w:hint="eastAsia" w:ascii="仿宋" w:hAnsi="仿宋" w:eastAsia="仿宋"/>
          <w:b/>
          <w:sz w:val="30"/>
          <w:szCs w:val="30"/>
        </w:rPr>
        <w:t>检查</w:t>
      </w:r>
      <w:r>
        <w:rPr>
          <w:rFonts w:ascii="仿宋" w:hAnsi="仿宋" w:eastAsia="仿宋"/>
          <w:b/>
          <w:sz w:val="30"/>
          <w:szCs w:val="30"/>
        </w:rPr>
        <w:t>结果分</w:t>
      </w:r>
      <w:r>
        <w:rPr>
          <w:rFonts w:hint="eastAsia" w:ascii="仿宋" w:hAnsi="仿宋" w:eastAsia="仿宋"/>
          <w:b/>
          <w:sz w:val="30"/>
          <w:szCs w:val="30"/>
          <w:lang w:eastAsia="zh-CN"/>
        </w:rPr>
        <w:t>级</w:t>
      </w:r>
    </w:p>
    <w:p>
      <w:pPr>
        <w:spacing w:line="500" w:lineRule="exact"/>
        <w:ind w:firstLine="560" w:firstLineChars="200"/>
        <w:rPr>
          <w:rFonts w:ascii="仿宋" w:hAnsi="仿宋" w:eastAsia="仿宋"/>
          <w:sz w:val="28"/>
          <w:szCs w:val="24"/>
        </w:rPr>
      </w:pPr>
      <w:r>
        <w:rPr>
          <w:rFonts w:hint="eastAsia" w:ascii="仿宋" w:hAnsi="仿宋" w:eastAsia="仿宋"/>
          <w:sz w:val="28"/>
          <w:szCs w:val="24"/>
        </w:rPr>
        <w:t>根据</w:t>
      </w:r>
      <w:r>
        <w:rPr>
          <w:rFonts w:ascii="仿宋" w:hAnsi="仿宋" w:eastAsia="仿宋"/>
          <w:sz w:val="28"/>
          <w:szCs w:val="24"/>
        </w:rPr>
        <w:t>专家组现场</w:t>
      </w:r>
      <w:r>
        <w:rPr>
          <w:rFonts w:hint="eastAsia" w:ascii="仿宋" w:hAnsi="仿宋" w:eastAsia="仿宋"/>
          <w:sz w:val="28"/>
          <w:szCs w:val="24"/>
        </w:rPr>
        <w:t>检查，</w:t>
      </w:r>
      <w:r>
        <w:rPr>
          <w:rFonts w:ascii="仿宋" w:hAnsi="仿宋" w:eastAsia="仿宋"/>
          <w:sz w:val="28"/>
          <w:szCs w:val="24"/>
        </w:rPr>
        <w:t>将</w:t>
      </w:r>
      <w:r>
        <w:rPr>
          <w:rFonts w:hint="eastAsia" w:ascii="仿宋" w:hAnsi="仿宋" w:eastAsia="仿宋"/>
          <w:sz w:val="28"/>
          <w:szCs w:val="24"/>
        </w:rPr>
        <w:t>结果分为四</w:t>
      </w:r>
      <w:r>
        <w:rPr>
          <w:rFonts w:hint="eastAsia" w:ascii="仿宋" w:hAnsi="仿宋" w:eastAsia="仿宋"/>
          <w:sz w:val="28"/>
          <w:szCs w:val="24"/>
          <w:lang w:eastAsia="zh-CN"/>
        </w:rPr>
        <w:t>级</w:t>
      </w:r>
      <w:r>
        <w:rPr>
          <w:rFonts w:hint="eastAsia" w:ascii="仿宋" w:hAnsi="仿宋" w:eastAsia="仿宋"/>
          <w:sz w:val="28"/>
          <w:szCs w:val="24"/>
        </w:rPr>
        <w:t>，</w:t>
      </w:r>
      <w:r>
        <w:rPr>
          <w:rFonts w:ascii="仿宋" w:hAnsi="仿宋" w:eastAsia="仿宋"/>
          <w:sz w:val="28"/>
          <w:szCs w:val="24"/>
        </w:rPr>
        <w:t>即</w:t>
      </w:r>
      <w:r>
        <w:rPr>
          <w:rFonts w:hint="eastAsia" w:ascii="仿宋" w:hAnsi="仿宋" w:eastAsia="仿宋"/>
          <w:sz w:val="28"/>
          <w:szCs w:val="24"/>
        </w:rPr>
        <w:t>：</w:t>
      </w:r>
    </w:p>
    <w:p>
      <w:pPr>
        <w:spacing w:line="500" w:lineRule="exact"/>
        <w:ind w:firstLine="560" w:firstLineChars="200"/>
        <w:rPr>
          <w:rFonts w:ascii="仿宋" w:hAnsi="仿宋" w:eastAsia="仿宋"/>
          <w:sz w:val="28"/>
          <w:szCs w:val="24"/>
        </w:rPr>
      </w:pPr>
      <w:r>
        <w:rPr>
          <w:rFonts w:hint="eastAsia" w:ascii="仿宋" w:hAnsi="仿宋" w:eastAsia="仿宋"/>
          <w:sz w:val="28"/>
          <w:szCs w:val="24"/>
          <w:lang w:val="en-US" w:eastAsia="zh-CN"/>
        </w:rPr>
        <w:t>A级</w:t>
      </w:r>
      <w:r>
        <w:rPr>
          <w:rFonts w:ascii="仿宋" w:hAnsi="仿宋" w:eastAsia="仿宋"/>
          <w:sz w:val="28"/>
          <w:szCs w:val="24"/>
        </w:rPr>
        <w:t>：</w:t>
      </w:r>
      <w:r>
        <w:rPr>
          <w:rFonts w:hint="eastAsia" w:ascii="仿宋" w:hAnsi="仿宋" w:eastAsia="仿宋"/>
          <w:sz w:val="28"/>
          <w:szCs w:val="24"/>
        </w:rPr>
        <w:t>通过；</w:t>
      </w:r>
    </w:p>
    <w:p>
      <w:pPr>
        <w:spacing w:line="500" w:lineRule="exact"/>
        <w:ind w:firstLine="560" w:firstLineChars="200"/>
        <w:rPr>
          <w:rFonts w:ascii="仿宋" w:hAnsi="仿宋" w:eastAsia="仿宋"/>
          <w:sz w:val="28"/>
          <w:szCs w:val="24"/>
        </w:rPr>
      </w:pPr>
      <w:r>
        <w:rPr>
          <w:rFonts w:hint="eastAsia" w:ascii="仿宋" w:hAnsi="仿宋" w:eastAsia="仿宋"/>
          <w:sz w:val="28"/>
          <w:szCs w:val="24"/>
          <w:lang w:val="en-US" w:eastAsia="zh-CN"/>
        </w:rPr>
        <w:t>B级</w:t>
      </w:r>
      <w:r>
        <w:rPr>
          <w:rFonts w:ascii="仿宋" w:hAnsi="仿宋" w:eastAsia="仿宋"/>
          <w:sz w:val="28"/>
          <w:szCs w:val="24"/>
        </w:rPr>
        <w:t>：</w:t>
      </w:r>
      <w:r>
        <w:rPr>
          <w:rFonts w:hint="eastAsia" w:ascii="仿宋" w:hAnsi="仿宋" w:eastAsia="仿宋"/>
          <w:sz w:val="28"/>
          <w:szCs w:val="24"/>
        </w:rPr>
        <w:t>整改后通过；</w:t>
      </w:r>
    </w:p>
    <w:p>
      <w:pPr>
        <w:spacing w:line="500" w:lineRule="exact"/>
        <w:ind w:firstLine="560" w:firstLineChars="200"/>
        <w:rPr>
          <w:rFonts w:ascii="仿宋" w:hAnsi="仿宋" w:eastAsia="仿宋"/>
          <w:sz w:val="28"/>
          <w:szCs w:val="24"/>
        </w:rPr>
      </w:pPr>
      <w:r>
        <w:rPr>
          <w:rFonts w:hint="eastAsia" w:ascii="仿宋" w:hAnsi="仿宋" w:eastAsia="仿宋"/>
          <w:sz w:val="28"/>
          <w:szCs w:val="24"/>
          <w:lang w:val="en-US" w:eastAsia="zh-CN"/>
        </w:rPr>
        <w:t>C级</w:t>
      </w:r>
      <w:r>
        <w:rPr>
          <w:rFonts w:ascii="仿宋" w:hAnsi="仿宋" w:eastAsia="仿宋"/>
          <w:sz w:val="28"/>
          <w:szCs w:val="24"/>
        </w:rPr>
        <w:t>：</w:t>
      </w:r>
      <w:r>
        <w:rPr>
          <w:rFonts w:hint="eastAsia" w:ascii="仿宋" w:hAnsi="仿宋" w:eastAsia="仿宋"/>
          <w:sz w:val="28"/>
          <w:szCs w:val="24"/>
        </w:rPr>
        <w:t>整改，</w:t>
      </w:r>
      <w:r>
        <w:rPr>
          <w:rFonts w:ascii="仿宋" w:hAnsi="仿宋" w:eastAsia="仿宋"/>
          <w:sz w:val="28"/>
          <w:szCs w:val="24"/>
        </w:rPr>
        <w:t>经</w:t>
      </w:r>
      <w:r>
        <w:rPr>
          <w:rFonts w:hint="eastAsia" w:ascii="仿宋" w:hAnsi="仿宋" w:eastAsia="仿宋"/>
          <w:sz w:val="28"/>
          <w:szCs w:val="24"/>
        </w:rPr>
        <w:t>现场复查合格后通过；</w:t>
      </w:r>
    </w:p>
    <w:p>
      <w:pPr>
        <w:spacing w:line="500" w:lineRule="exact"/>
        <w:ind w:firstLine="560" w:firstLineChars="200"/>
        <w:rPr>
          <w:rFonts w:ascii="仿宋" w:hAnsi="仿宋" w:eastAsia="仿宋"/>
          <w:sz w:val="24"/>
          <w:szCs w:val="24"/>
        </w:rPr>
      </w:pPr>
      <w:r>
        <w:rPr>
          <w:rFonts w:hint="eastAsia" w:ascii="仿宋" w:hAnsi="仿宋" w:eastAsia="仿宋"/>
          <w:sz w:val="28"/>
          <w:szCs w:val="24"/>
          <w:lang w:val="en-US" w:eastAsia="zh-CN"/>
        </w:rPr>
        <w:t>D级</w:t>
      </w:r>
      <w:r>
        <w:rPr>
          <w:rFonts w:ascii="仿宋" w:hAnsi="仿宋" w:eastAsia="仿宋"/>
          <w:sz w:val="28"/>
          <w:szCs w:val="24"/>
        </w:rPr>
        <w:t>：</w:t>
      </w:r>
      <w:r>
        <w:rPr>
          <w:rFonts w:hint="eastAsia" w:ascii="仿宋" w:hAnsi="仿宋" w:eastAsia="仿宋"/>
          <w:sz w:val="28"/>
          <w:szCs w:val="24"/>
        </w:rPr>
        <w:t>不通过。</w:t>
      </w:r>
    </w:p>
    <w:p>
      <w:pPr>
        <w:spacing w:before="156" w:beforeLines="50" w:line="500" w:lineRule="exact"/>
        <w:ind w:firstLine="602" w:firstLineChars="200"/>
        <w:jc w:val="left"/>
        <w:rPr>
          <w:rFonts w:ascii="仿宋" w:hAnsi="仿宋" w:eastAsia="仿宋"/>
          <w:b/>
          <w:sz w:val="30"/>
          <w:szCs w:val="30"/>
        </w:rPr>
      </w:pPr>
      <w:r>
        <w:rPr>
          <w:rFonts w:ascii="仿宋" w:hAnsi="仿宋" w:eastAsia="仿宋"/>
          <w:b/>
          <w:sz w:val="30"/>
          <w:szCs w:val="30"/>
        </w:rPr>
        <w:t>3</w:t>
      </w:r>
      <w:r>
        <w:rPr>
          <w:rFonts w:hint="eastAsia" w:ascii="仿宋" w:hAnsi="仿宋" w:eastAsia="仿宋"/>
          <w:b/>
          <w:sz w:val="30"/>
          <w:szCs w:val="30"/>
        </w:rPr>
        <w:t>.检查结果的</w:t>
      </w:r>
      <w:r>
        <w:rPr>
          <w:rFonts w:ascii="仿宋" w:hAnsi="仿宋" w:eastAsia="仿宋"/>
          <w:b/>
          <w:sz w:val="30"/>
          <w:szCs w:val="30"/>
        </w:rPr>
        <w:t>分</w:t>
      </w:r>
      <w:r>
        <w:rPr>
          <w:rFonts w:hint="eastAsia" w:ascii="仿宋" w:hAnsi="仿宋" w:eastAsia="仿宋"/>
          <w:b/>
          <w:sz w:val="30"/>
          <w:szCs w:val="30"/>
          <w:lang w:eastAsia="zh-CN"/>
        </w:rPr>
        <w:t>级</w:t>
      </w:r>
      <w:r>
        <w:rPr>
          <w:rFonts w:ascii="仿宋" w:hAnsi="仿宋" w:eastAsia="仿宋"/>
          <w:b/>
          <w:sz w:val="30"/>
          <w:szCs w:val="30"/>
        </w:rPr>
        <w:t>判别</w:t>
      </w:r>
    </w:p>
    <w:p>
      <w:pPr>
        <w:spacing w:line="500" w:lineRule="exact"/>
        <w:ind w:firstLine="560" w:firstLineChars="200"/>
        <w:jc w:val="left"/>
        <w:rPr>
          <w:rFonts w:ascii="仿宋" w:hAnsi="仿宋" w:eastAsia="仿宋"/>
          <w:sz w:val="28"/>
          <w:szCs w:val="24"/>
        </w:rPr>
      </w:pPr>
      <w:r>
        <w:rPr>
          <w:rFonts w:hint="eastAsia" w:ascii="仿宋" w:hAnsi="仿宋" w:eastAsia="仿宋"/>
          <w:sz w:val="28"/>
          <w:szCs w:val="24"/>
        </w:rPr>
        <w:t>根据现场检查</w:t>
      </w:r>
      <w:r>
        <w:rPr>
          <w:rFonts w:ascii="仿宋" w:hAnsi="仿宋" w:eastAsia="仿宋"/>
          <w:sz w:val="28"/>
          <w:szCs w:val="24"/>
        </w:rPr>
        <w:t>发现</w:t>
      </w:r>
      <w:r>
        <w:rPr>
          <w:rFonts w:hint="eastAsia" w:ascii="仿宋" w:hAnsi="仿宋" w:eastAsia="仿宋"/>
          <w:sz w:val="28"/>
          <w:szCs w:val="24"/>
        </w:rPr>
        <w:t>安全</w:t>
      </w:r>
      <w:r>
        <w:rPr>
          <w:rFonts w:ascii="仿宋" w:hAnsi="仿宋" w:eastAsia="仿宋"/>
          <w:sz w:val="28"/>
          <w:szCs w:val="24"/>
        </w:rPr>
        <w:t>问题和隐患的</w:t>
      </w:r>
      <w:r>
        <w:rPr>
          <w:rFonts w:hint="eastAsia" w:ascii="仿宋" w:hAnsi="仿宋" w:eastAsia="仿宋"/>
          <w:sz w:val="28"/>
          <w:szCs w:val="24"/>
        </w:rPr>
        <w:t>情况</w:t>
      </w:r>
      <w:r>
        <w:rPr>
          <w:rFonts w:ascii="仿宋" w:hAnsi="仿宋" w:eastAsia="仿宋"/>
          <w:sz w:val="28"/>
          <w:szCs w:val="24"/>
        </w:rPr>
        <w:t>，对照指标</w:t>
      </w:r>
      <w:r>
        <w:rPr>
          <w:rFonts w:hint="eastAsia" w:ascii="仿宋" w:hAnsi="仿宋" w:eastAsia="仿宋"/>
          <w:sz w:val="28"/>
          <w:szCs w:val="24"/>
        </w:rPr>
        <w:t>条款</w:t>
      </w:r>
      <w:r>
        <w:rPr>
          <w:rFonts w:ascii="仿宋" w:hAnsi="仿宋" w:eastAsia="仿宋"/>
          <w:sz w:val="28"/>
          <w:szCs w:val="24"/>
        </w:rPr>
        <w:t>的</w:t>
      </w:r>
      <w:r>
        <w:rPr>
          <w:rFonts w:hint="eastAsia" w:ascii="仿宋" w:hAnsi="仿宋" w:eastAsia="仿宋"/>
          <w:sz w:val="28"/>
          <w:szCs w:val="24"/>
        </w:rPr>
        <w:t>星级和</w:t>
      </w:r>
      <w:r>
        <w:rPr>
          <w:rFonts w:ascii="仿宋" w:hAnsi="仿宋" w:eastAsia="仿宋"/>
          <w:sz w:val="28"/>
          <w:szCs w:val="24"/>
        </w:rPr>
        <w:t>数量，</w:t>
      </w:r>
      <w:r>
        <w:rPr>
          <w:rFonts w:hint="eastAsia" w:ascii="仿宋" w:hAnsi="仿宋" w:eastAsia="仿宋"/>
          <w:sz w:val="28"/>
          <w:szCs w:val="24"/>
        </w:rPr>
        <w:t>判定</w:t>
      </w:r>
      <w:r>
        <w:rPr>
          <w:rFonts w:ascii="仿宋" w:hAnsi="仿宋" w:eastAsia="仿宋"/>
          <w:sz w:val="28"/>
          <w:szCs w:val="24"/>
        </w:rPr>
        <w:t>检查结果</w:t>
      </w:r>
      <w:r>
        <w:rPr>
          <w:rFonts w:hint="eastAsia" w:ascii="仿宋" w:hAnsi="仿宋" w:eastAsia="仿宋"/>
          <w:sz w:val="28"/>
          <w:szCs w:val="24"/>
        </w:rPr>
        <w:t>档级，</w:t>
      </w:r>
      <w:r>
        <w:rPr>
          <w:rFonts w:ascii="仿宋" w:hAnsi="仿宋" w:eastAsia="仿宋"/>
          <w:sz w:val="28"/>
          <w:szCs w:val="24"/>
        </w:rPr>
        <w:t>作为</w:t>
      </w:r>
      <w:r>
        <w:rPr>
          <w:rFonts w:hint="eastAsia" w:ascii="仿宋" w:hAnsi="仿宋" w:eastAsia="仿宋"/>
          <w:sz w:val="28"/>
          <w:szCs w:val="24"/>
          <w:lang w:eastAsia="zh-CN"/>
        </w:rPr>
        <w:t>现场</w:t>
      </w:r>
      <w:r>
        <w:rPr>
          <w:rFonts w:ascii="仿宋" w:hAnsi="仿宋" w:eastAsia="仿宋"/>
          <w:sz w:val="28"/>
          <w:szCs w:val="24"/>
        </w:rPr>
        <w:t>检查的结</w:t>
      </w:r>
      <w:r>
        <w:rPr>
          <w:rFonts w:hint="eastAsia" w:ascii="仿宋" w:hAnsi="仿宋" w:eastAsia="仿宋"/>
          <w:sz w:val="28"/>
          <w:szCs w:val="24"/>
        </w:rPr>
        <w:t>果</w:t>
      </w:r>
      <w:r>
        <w:rPr>
          <w:rFonts w:hint="eastAsia" w:ascii="仿宋" w:hAnsi="仿宋" w:eastAsia="仿宋"/>
          <w:sz w:val="28"/>
          <w:szCs w:val="24"/>
          <w:lang w:eastAsia="zh-CN"/>
        </w:rPr>
        <w:t>（</w:t>
      </w:r>
      <w:r>
        <w:rPr>
          <w:rFonts w:hint="eastAsia" w:ascii="仿宋" w:hAnsi="仿宋" w:eastAsia="仿宋"/>
          <w:sz w:val="28"/>
          <w:szCs w:val="24"/>
        </w:rPr>
        <w:t>见</w:t>
      </w:r>
      <w:r>
        <w:rPr>
          <w:rFonts w:ascii="仿宋" w:hAnsi="仿宋" w:eastAsia="仿宋"/>
          <w:b w:val="0"/>
          <w:bCs w:val="0"/>
          <w:sz w:val="28"/>
          <w:szCs w:val="24"/>
        </w:rPr>
        <w:t>表</w:t>
      </w:r>
      <w:r>
        <w:rPr>
          <w:rFonts w:hint="eastAsia" w:ascii="仿宋" w:hAnsi="仿宋" w:eastAsia="仿宋"/>
          <w:b w:val="0"/>
          <w:bCs w:val="0"/>
          <w:sz w:val="28"/>
          <w:szCs w:val="24"/>
          <w:lang w:val="en-US" w:eastAsia="zh-CN"/>
        </w:rPr>
        <w:t>2</w:t>
      </w:r>
      <w:r>
        <w:rPr>
          <w:rFonts w:hint="eastAsia" w:ascii="仿宋" w:hAnsi="仿宋" w:eastAsia="仿宋"/>
          <w:sz w:val="28"/>
          <w:szCs w:val="24"/>
          <w:lang w:eastAsia="zh-CN"/>
        </w:rPr>
        <w:t>）</w:t>
      </w:r>
      <w:r>
        <w:rPr>
          <w:rFonts w:hint="eastAsia" w:ascii="仿宋" w:hAnsi="仿宋" w:eastAsia="仿宋"/>
          <w:sz w:val="28"/>
          <w:szCs w:val="24"/>
          <w:lang w:val="en-US" w:eastAsia="zh-CN"/>
        </w:rPr>
        <w:t>。</w:t>
      </w:r>
    </w:p>
    <w:p>
      <w:pPr>
        <w:spacing w:line="500" w:lineRule="exact"/>
        <w:ind w:firstLine="560" w:firstLineChars="200"/>
        <w:rPr>
          <w:rFonts w:ascii="仿宋" w:hAnsi="仿宋" w:eastAsia="仿宋"/>
          <w:sz w:val="28"/>
          <w:szCs w:val="24"/>
        </w:rPr>
      </w:pPr>
    </w:p>
    <w:p>
      <w:pPr>
        <w:spacing w:line="500" w:lineRule="exact"/>
        <w:rPr>
          <w:rFonts w:ascii="仿宋" w:hAnsi="仿宋" w:eastAsia="仿宋"/>
          <w:b/>
          <w:bCs/>
          <w:sz w:val="28"/>
          <w:szCs w:val="24"/>
        </w:rPr>
      </w:pPr>
      <w:r>
        <w:rPr>
          <w:rFonts w:hint="eastAsia" w:ascii="仿宋" w:hAnsi="仿宋" w:eastAsia="仿宋"/>
          <w:b/>
          <w:bCs/>
          <w:sz w:val="28"/>
          <w:szCs w:val="24"/>
        </w:rPr>
        <w:t>表</w:t>
      </w:r>
      <w:r>
        <w:rPr>
          <w:rFonts w:hint="eastAsia" w:ascii="仿宋" w:hAnsi="仿宋" w:eastAsia="仿宋"/>
          <w:b/>
          <w:bCs/>
          <w:sz w:val="28"/>
          <w:szCs w:val="24"/>
          <w:lang w:val="en-US" w:eastAsia="zh-CN"/>
        </w:rPr>
        <w:t>1</w:t>
      </w:r>
      <w:r>
        <w:rPr>
          <w:rFonts w:hint="eastAsia" w:ascii="仿宋" w:hAnsi="仿宋" w:eastAsia="仿宋"/>
          <w:b/>
          <w:bCs/>
          <w:sz w:val="28"/>
          <w:szCs w:val="24"/>
        </w:rPr>
        <w:t>.</w:t>
      </w:r>
    </w:p>
    <w:p>
      <w:pPr>
        <w:spacing w:line="500" w:lineRule="exact"/>
        <w:jc w:val="center"/>
        <w:rPr>
          <w:rFonts w:ascii="仿宋" w:hAnsi="仿宋" w:eastAsia="仿宋"/>
          <w:sz w:val="28"/>
          <w:szCs w:val="24"/>
        </w:rPr>
      </w:pPr>
      <w:r>
        <w:rPr>
          <w:rFonts w:hint="eastAsia" w:ascii="仿宋" w:hAnsi="仿宋" w:eastAsia="仿宋"/>
          <w:b/>
          <w:sz w:val="28"/>
          <w:szCs w:val="24"/>
        </w:rPr>
        <w:t>实验室</w:t>
      </w:r>
      <w:r>
        <w:rPr>
          <w:rFonts w:ascii="仿宋" w:hAnsi="仿宋" w:eastAsia="仿宋"/>
          <w:b/>
          <w:sz w:val="28"/>
          <w:szCs w:val="24"/>
        </w:rPr>
        <w:t>安全检查条款</w:t>
      </w:r>
      <w:r>
        <w:rPr>
          <w:rFonts w:hint="eastAsia" w:ascii="仿宋" w:hAnsi="仿宋" w:eastAsia="仿宋"/>
          <w:b/>
          <w:sz w:val="28"/>
          <w:szCs w:val="24"/>
        </w:rPr>
        <w:t>星号</w:t>
      </w:r>
      <w:r>
        <w:rPr>
          <w:rFonts w:ascii="仿宋" w:hAnsi="仿宋" w:eastAsia="仿宋"/>
          <w:b/>
          <w:sz w:val="28"/>
          <w:szCs w:val="24"/>
        </w:rPr>
        <w:t>分级</w:t>
      </w:r>
    </w:p>
    <w:tbl>
      <w:tblPr>
        <w:tblStyle w:val="4"/>
        <w:tblpPr w:leftFromText="180" w:rightFromText="180" w:vertAnchor="text" w:horzAnchor="margin" w:tblpXSpec="center" w:tblpY="3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2"/>
        <w:gridCol w:w="851"/>
        <w:gridCol w:w="1843"/>
        <w:gridCol w:w="552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851" w:type="dxa"/>
            <w:shd w:val="clear" w:color="auto" w:fill="auto"/>
            <w:tcMar>
              <w:left w:w="45" w:type="dxa"/>
              <w:right w:w="45" w:type="dxa"/>
            </w:tcMar>
            <w:vAlign w:val="center"/>
          </w:tcPr>
          <w:p>
            <w:pPr>
              <w:spacing w:line="320" w:lineRule="exact"/>
              <w:jc w:val="center"/>
              <w:rPr>
                <w:rFonts w:asciiTheme="minorEastAsia" w:hAnsiTheme="minorEastAsia"/>
                <w:b/>
                <w:sz w:val="24"/>
                <w:szCs w:val="24"/>
              </w:rPr>
            </w:pPr>
            <w:r>
              <w:rPr>
                <w:rFonts w:hint="eastAsia" w:asciiTheme="minorEastAsia" w:hAnsiTheme="minorEastAsia"/>
                <w:b/>
                <w:sz w:val="24"/>
                <w:szCs w:val="24"/>
              </w:rPr>
              <w:t>编号</w:t>
            </w:r>
          </w:p>
        </w:tc>
        <w:tc>
          <w:tcPr>
            <w:tcW w:w="1843" w:type="dxa"/>
            <w:shd w:val="clear" w:color="auto" w:fill="auto"/>
            <w:tcMar>
              <w:left w:w="45" w:type="dxa"/>
              <w:right w:w="45" w:type="dxa"/>
            </w:tcMar>
            <w:vAlign w:val="center"/>
          </w:tcPr>
          <w:p>
            <w:pPr>
              <w:spacing w:line="320" w:lineRule="exact"/>
              <w:jc w:val="center"/>
              <w:rPr>
                <w:rFonts w:asciiTheme="minorEastAsia" w:hAnsiTheme="minorEastAsia"/>
                <w:b/>
                <w:sz w:val="24"/>
                <w:szCs w:val="24"/>
              </w:rPr>
            </w:pPr>
            <w:r>
              <w:rPr>
                <w:rFonts w:hint="eastAsia" w:asciiTheme="minorEastAsia" w:hAnsiTheme="minorEastAsia"/>
                <w:b/>
                <w:sz w:val="24"/>
                <w:szCs w:val="24"/>
              </w:rPr>
              <w:t>小类</w:t>
            </w:r>
            <w:r>
              <w:rPr>
                <w:rFonts w:asciiTheme="minorEastAsia" w:hAnsiTheme="minorEastAsia"/>
                <w:b/>
                <w:sz w:val="24"/>
                <w:szCs w:val="24"/>
              </w:rPr>
              <w:t>名称</w:t>
            </w:r>
          </w:p>
        </w:tc>
        <w:tc>
          <w:tcPr>
            <w:tcW w:w="5528" w:type="dxa"/>
            <w:shd w:val="clear" w:color="auto" w:fill="auto"/>
            <w:tcMar>
              <w:left w:w="45" w:type="dxa"/>
              <w:right w:w="45" w:type="dxa"/>
            </w:tcMar>
            <w:vAlign w:val="center"/>
          </w:tcPr>
          <w:p>
            <w:pPr>
              <w:spacing w:line="320" w:lineRule="exact"/>
              <w:jc w:val="center"/>
              <w:rPr>
                <w:rFonts w:asciiTheme="minorEastAsia" w:hAnsiTheme="minorEastAsia"/>
                <w:b/>
                <w:sz w:val="24"/>
                <w:szCs w:val="24"/>
              </w:rPr>
            </w:pPr>
            <w:r>
              <w:rPr>
                <w:rFonts w:hint="eastAsia" w:asciiTheme="minorEastAsia" w:hAnsiTheme="minorEastAsia"/>
                <w:b/>
                <w:sz w:val="24"/>
                <w:szCs w:val="24"/>
              </w:rPr>
              <w:t>检查</w:t>
            </w:r>
            <w:r>
              <w:rPr>
                <w:rFonts w:asciiTheme="minorEastAsia" w:hAnsiTheme="minorEastAsia"/>
                <w:b/>
                <w:sz w:val="24"/>
                <w:szCs w:val="24"/>
              </w:rPr>
              <w:t>项目</w:t>
            </w:r>
          </w:p>
        </w:tc>
        <w:tc>
          <w:tcPr>
            <w:tcW w:w="709" w:type="dxa"/>
            <w:shd w:val="clear" w:color="auto" w:fill="auto"/>
            <w:tcMar>
              <w:left w:w="45" w:type="dxa"/>
              <w:right w:w="45" w:type="dxa"/>
            </w:tcMar>
            <w:vAlign w:val="center"/>
          </w:tcPr>
          <w:p>
            <w:pPr>
              <w:spacing w:line="320" w:lineRule="exact"/>
              <w:jc w:val="center"/>
              <w:rPr>
                <w:rFonts w:asciiTheme="minorEastAsia" w:hAnsiTheme="minorEastAsia"/>
                <w:b/>
                <w:sz w:val="24"/>
                <w:szCs w:val="24"/>
              </w:rPr>
            </w:pPr>
            <w:r>
              <w:rPr>
                <w:rFonts w:hint="eastAsia" w:asciiTheme="minorEastAsia" w:hAnsiTheme="minorEastAsia"/>
                <w:b/>
                <w:sz w:val="24"/>
                <w:szCs w:val="24"/>
              </w:rPr>
              <w:t>条款</w:t>
            </w:r>
          </w:p>
          <w:p>
            <w:pPr>
              <w:spacing w:line="320" w:lineRule="exact"/>
              <w:jc w:val="center"/>
              <w:rPr>
                <w:rFonts w:asciiTheme="minorEastAsia" w:hAnsiTheme="minorEastAsia"/>
                <w:b/>
                <w:sz w:val="24"/>
                <w:szCs w:val="24"/>
              </w:rPr>
            </w:pPr>
            <w:r>
              <w:rPr>
                <w:rFonts w:hint="eastAsia" w:asciiTheme="minorEastAsia" w:hAnsiTheme="minorEastAsia"/>
                <w:b/>
                <w:sz w:val="24"/>
                <w:szCs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hint="eastAsia"/>
                <w:sz w:val="24"/>
                <w:szCs w:val="24"/>
              </w:rPr>
              <w:t>1.1.1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学校层面安全责任体系</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有校级实验室安全工作领导机构，由校领导作为负责人，相关职能部门参与，设办公室</w:t>
            </w:r>
          </w:p>
        </w:tc>
        <w:tc>
          <w:tcPr>
            <w:tcW w:w="709"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Cs w:val="21"/>
              </w:rPr>
              <w:t>1.1.2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学校层面安全责任体系</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有处级职能部门主管实验室技术安全工作，下设实验室安全管理科室（3万学生规模以上且仪器设备总值超过3亿元的学校），或有专职的实验室安全管理人员</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2.1.1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校级层面实验室安全管理制度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有实验室技术安全管理办法</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危险化学品采购、验收、发放</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剧毒品、易制毒品、易制爆品、爆炸品购买前须经学校审批，报公安部门批准或备案后，向具有经营许可资质的单位购买。校职能部门保留资料、建立档案。不得私自从外单位获取管控化学品</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病原微生物采购与保管</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自行分离高致病性病原微生物，必须在相应安全等级的实验室中进行，并报卫生或农业主管部门批准，方可保存和开展实验，资料报学校备案</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Cs w:val="21"/>
              </w:rPr>
              <w:t>1.1.5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学校层面安全责任体系</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各级主管实验室安全的负责人到岗一年内参与了实验室安全培训，有培训证书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1.2.1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院级层面安全责任体系</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成立实验室安全领导小组，由党/政主要领导作为负责人，研究所、中心、教研室、实验室等负责人参加。分管实验室的领导主管实验室安全</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2.1.3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校级层面实验室安全管理制度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有实验室安全检查制度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Cs w:val="21"/>
              </w:rPr>
              <w:t>2.1.4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校级层面实验室安全管理制度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有实验室安全教育与实验室准入制度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10</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Cs w:val="21"/>
              </w:rPr>
              <w:t>2.1.7</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校级层面实验室安全管理制度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color w:val="000000"/>
                <w:sz w:val="21"/>
                <w:szCs w:val="21"/>
              </w:rPr>
              <w:t>有实验室突发事件应急预案（包括化学、生物、辐射、电气、机械等分类）</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安全教育活动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开设合适的实验室安全必修课或选修课</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3.2.1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实验室安全考试系统</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建立了实验室安全知识考试系统，具有学习与考试功能</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危险源辨识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学校、学院层面建立了实验室安全危险源清单，内容包括涉及单位、房间、类别、数量、责任人等信息</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4.1.3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危险源辨识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涉及剧毒品、病原微生物、放射性同位素、强磁等高危场所，具备符合要求的软硬件设施，并有明显的警示标识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4.3.3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隐患整改</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如有重大隐患，实验室应立即停止实验活动，采取相应防范措施或整改完成后方能恢复实验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门禁监控</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在剧毒品、病原微生物，特种设备和放射源存放点等重点场所安装门禁和监控设施，运转正常，有专人管理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8.4.1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剧毒品管理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配备专门的保险柜并固定，实行双人双锁保管；对于具有高挥发性、低闪点的剧毒品应存放在具有防爆功能的冰箱内，并配备双锁；配备监控与报警装置</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8.4.2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剧毒品管理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执行双人收发、双人运输；应严格记录品种、规格以及购入、发放、退回的日期、单位及经手人、数量以及结存数量</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19</w:t>
            </w:r>
          </w:p>
        </w:tc>
        <w:tc>
          <w:tcPr>
            <w:tcW w:w="851" w:type="dxa"/>
            <w:shd w:val="clear" w:color="auto" w:fill="auto"/>
            <w:tcMar>
              <w:left w:w="45" w:type="dxa"/>
              <w:right w:w="45" w:type="dxa"/>
            </w:tcMar>
            <w:vAlign w:val="center"/>
          </w:tcPr>
          <w:p>
            <w:pPr>
              <w:spacing w:line="320" w:lineRule="exact"/>
              <w:rPr>
                <w:color w:val="000000"/>
                <w:sz w:val="24"/>
                <w:szCs w:val="24"/>
              </w:rPr>
            </w:pPr>
            <w:r>
              <w:rPr>
                <w:rFonts w:ascii="Times New Roman" w:hAnsi="Times New Roman" w:cs="Times New Roman"/>
                <w:color w:val="000000"/>
                <w:sz w:val="24"/>
                <w:szCs w:val="24"/>
              </w:rPr>
              <w:t>8.4.3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剧毒品管理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使用时有两人同时在场，且计量取用后立即放回保险柜，详细记载用途，双人签字</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其它管控化学品管理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易制毒品分类存放、专人保管，做好领取、使用、处置记录；其中第一类易制毒品实行“五双”管理制度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其它管控化学品管理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爆炸品单独隔离，限量存储，使用、销毁按照公安部门的要求执行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bCs/>
                <w:color w:val="000000"/>
                <w:sz w:val="21"/>
                <w:szCs w:val="21"/>
              </w:rPr>
              <w:t>实验气体管理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从合格供应商处采购实验气体，建立气体钢瓶台帐</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实验气体管理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涉及剧毒、易燃易爆气体的场所，配有通风设施和合适的监控报警装置等，张贴必要的安全警示标识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8.7.1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化学废弃物管理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与有资质的处置单位（企业）签约处置化学废弃物</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实验室资质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开展病原微生物实验研究的实验室，须具备相应的安全等级资质。其中BSL-3/ABSL-3、BSL-4/ABSL-4实验室须经政府部门批准建设；BSL-1/ ABSL-1、BSL-2/ ABSL-2 实验室由学校建设后报政府卫生或农业部门备案</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9.1.3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实验室资质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开展未经灭活的高致病性病原微生物（列入一类、二类）相关实验和研究，必须在BSL-3/ABSL-3、BSL-4/ABSL-4实验室中进行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9.1.4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实验室资质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开展低致病性病原微生物（列入三类、四类），或经灭活的高致病性感染性材料的相关实验和研究，必须在BSL-1/ ABSL-1、BSL-2/ ABSL-2或以上等级实验室中进行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病原微生物采购与保管</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采购高致病性病原微生物菌（毒）种，须按照学校流程审批，报行业主管部门批准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29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生物实验废物处置</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涉及病原微生物的实验废弃物必须进行高温高压灭菌或化学浸泡处理，并有处置的记录。高致病性生物材料废弃物处置实现溯源追踪</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实验室资质与人员要求</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涉源学校须取得“辐射安全许可证”，并按规定在放射性核素种类和用量以及射线种类许可范围内开展实验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31</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1.1.4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sz w:val="21"/>
                <w:szCs w:val="21"/>
              </w:rPr>
              <w:t>学校层面安全责任体系</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color w:val="000000"/>
                <w:sz w:val="21"/>
                <w:szCs w:val="21"/>
              </w:rPr>
              <w:t>学校与院系签订实验室安全管理责任书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32</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1.3</w:t>
            </w:r>
            <w:r>
              <w:rPr>
                <w:rFonts w:ascii="Times New Roman" w:hAnsi="Times New Roman" w:cs="Times New Roman"/>
                <w:color w:val="00B0F0"/>
                <w:sz w:val="24"/>
                <w:szCs w:val="24"/>
              </w:rPr>
              <w:t>.</w:t>
            </w:r>
            <w:r>
              <w:rPr>
                <w:rFonts w:ascii="Times New Roman" w:hAnsi="Times New Roman" w:cs="Times New Roman"/>
                <w:color w:val="000000"/>
                <w:sz w:val="24"/>
                <w:szCs w:val="24"/>
              </w:rPr>
              <w:t>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经费保障</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学校每年有实验室安全常规经费预算</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33</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1.4.2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管理部门建立了完整的实验室安全工作档案，包括责任体系、队伍建设、安全制度、奖惩、教育培训、安全检查、隐患整改、事故调查与处理、专业安全、其它相关的常规或阶段性工作归档资料等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34</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2.1.2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sz w:val="21"/>
                <w:szCs w:val="21"/>
              </w:rPr>
              <w:t>校级层面实验室安全管理制度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有实验室安全奖励与责任追究制度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35</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2.2.3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院系层面的安全管理制度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涉及安全隐患的设备（如大型仪器、高温、高速、高压、强磁、低温等设备）有安全操作规程，并明示</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36</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2.2.4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院系层面的安全管理制度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危险性实验、工艺有实验指导书或操作规程（含安全注意事项），并明示</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2.2.5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院系层面的安全管理制度</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建立了危险性实验风险评估与准入机制</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38</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3.1.2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安全教育活动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每年开展全校教工和学生安全教育培训活动，有记录</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39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3.2.3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实验室安全考试系统</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每年组织新教工、本科生和研究生新生学习与考试，通过者发放合格证</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安全文化</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编印实验室安全手册并发放到每一位师生，承诺书归档</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4.3.1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隐患整改</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对于检查中发现的问题，有合适的方式通知被查实验室相关负责人及院系（如网上公示、整改通知书等），并规范存档</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4.3.2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隐患整改</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院系落实问题隐患的整改，整改报告在规定时间内提交学校管理部门，并归档</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安全报告</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学校有公示的安全检查通报（定期/不定期）</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场所环境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超过200平方米的实验楼层应具有至少两处紧急出口，75平方米以上实验室要有两扇门</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场所环境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每个房间门口挂有安全信息牌，信息包括安全责任人、涉及危险类别、防护措施和有效的应急联系电话等，并及时更新</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5.1.4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场所环境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实验室消防通道通畅，公共场所、通道不堆放仪器、物品</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场所环境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所有房间均须有应急备用钥匙，集中存放、专人管理，应急时方便取用</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场所环境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实验室内不得随意搭建阁楼，操作区层高不低于2米</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49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5.3.1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卫生与日常管理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有毒有害实验区与学习区明确分开，布局合理；实验区不准饮食</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5.3.2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卫生与日常管理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实验室物品摆放有序，卫生状况良好；实验完毕物品归位</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场所其它安全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危险性实验室配备了急救药箱，药箱不上锁、药品在保质期内</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5.4.4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场所其它安全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实验室内不存放或烧煮食物、饮食，无吸烟现象</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消防设施</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灭火器在有效期内（压力指针位置正常等），安全销（拉针）正常，瓶身无破损、腐蚀</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应急喷淋与洗眼装置</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存在可能受到化学和生物伤害的实验区域，需配置应急喷淋和洗眼装置，走廊有显著引导标识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6.3.1.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通风系统</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有需要的实验场所配备符合要求的通风系统，管道风机需防腐，使用可燃气体场所应采用防爆风机</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6.3.3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通风系统</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根据需要在通风橱管路上安装有毒有害气体的吸附或处理装置（如活性炭、光催化分解、水喷淋等）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hint="eastAsia"/>
                <w:color w:val="000000"/>
                <w:sz w:val="24"/>
                <w:szCs w:val="24"/>
              </w:rPr>
              <w:t>6.5.1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实验室防爆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防爆实验室需符合防爆设计要求，安装防爆开关、防爆灯等，安装必要的气体报警系统、监控系统及断电断水应急系统等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58</w:t>
            </w:r>
          </w:p>
        </w:tc>
        <w:tc>
          <w:tcPr>
            <w:tcW w:w="851" w:type="dxa"/>
            <w:shd w:val="clear" w:color="auto" w:fill="auto"/>
            <w:tcMar>
              <w:left w:w="45" w:type="dxa"/>
              <w:right w:w="45" w:type="dxa"/>
            </w:tcMar>
            <w:vAlign w:val="center"/>
          </w:tcPr>
          <w:p>
            <w:pPr>
              <w:spacing w:line="320" w:lineRule="exact"/>
              <w:rPr>
                <w:rFonts w:asciiTheme="minorEastAsia" w:hAnsiTheme="minorEastAsia"/>
                <w:sz w:val="24"/>
                <w:szCs w:val="24"/>
              </w:rPr>
            </w:pPr>
            <w:r>
              <w:rPr>
                <w:rFonts w:ascii="Times New Roman" w:hAnsi="Times New Roman" w:cs="Times New Roman"/>
                <w:color w:val="000000"/>
                <w:sz w:val="24"/>
                <w:szCs w:val="24"/>
              </w:rPr>
              <w:t>7.1.1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用电基础安全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实验室电容量、插头插座与用电设备功率需匹配，不得私自改装；电源插座须固定</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59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7.1.4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用电基础安全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禁止多个接线板串接供电，接线板不宜直接置于地面</w:t>
            </w:r>
          </w:p>
        </w:tc>
        <w:tc>
          <w:tcPr>
            <w:tcW w:w="709" w:type="dxa"/>
            <w:shd w:val="clear" w:color="auto" w:fill="auto"/>
            <w:tcMar>
              <w:left w:w="45" w:type="dxa"/>
              <w:right w:w="45" w:type="dxa"/>
            </w:tcMar>
            <w:vAlign w:val="center"/>
          </w:tcPr>
          <w:p>
            <w:pPr>
              <w:spacing w:line="32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7.1.11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用电基础安全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插座、插头、接线板为国家质量认证的合格产品，无烧焦变形、破损现象</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7.2.2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用水安全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各类连接管无老化破损（特别是冷却冷凝系统的橡胶管接口处）</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个人防护</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按需要佩戴防护眼镜（如进行化学实验、有危险的机械操作等）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个人防护</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特殊场所按需佩戴安全帽、防护帽，长发不散露在外。操作机床等旋转设备时，不穿戴长围巾、丝巾、领带等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个人防护</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按需要佩戴防护手套（涉及不同的有害化学物质、病原微生物、高温和低温等），并正确选择不同种类和材质的手套</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个人防护</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在特殊的实验室配备和使用呼吸器或面罩（如有挥发性毒物、溅射危险等），并正确选择种类；呼吸器或面罩在有效期内，不用时须密封放置</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危险性实验（如高温、高压、高速运转等）时必须有两人在场</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7.4.2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实验时不能脱岗，通宵实验须两人在场并有事先审批制度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7.4.4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实验结束后物品归位，保持桌面整洁</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69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8.1.1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危险化学品采购、验收、发放</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一般危险化学品要向具有危化品生产经营许可资质的单位购买</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实验室化学试剂存放</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有实验室内化学品的动态使用台帐；建立本实验室危险化学品目录，并有危险化学品安全技术说明书（MSDS）或安全周知卡，方便查阅</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实验室化学试剂存放</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实验室内存放的危险化学品总量原则上不应超过100L或100kg，其中易燃易爆性化学品的存放总量不应超过50L 或50kg，且单一包装容器不应大于20L或20kg</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实验室化学试剂存放</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8.3.2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实验操作安全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制定危险实验、危险化工工艺指导书，上墙或便于取阅；按照指导书进行实验</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8.3.3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实验操作安全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建立针对特殊危险实验的应急预案，方便取阅；实验人员熟悉所涉及的危险性及应急处理措施</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其它管控化学品管理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易制爆品分类存放、专人保管，做好领取、使用、处置记录</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其它管控化学品管理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麻醉品和精神类药品储存于专门的保险柜中，有规范的领取、使用、处置台账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bCs/>
                <w:color w:val="000000"/>
                <w:sz w:val="21"/>
                <w:szCs w:val="21"/>
              </w:rPr>
              <w:t>实验气体管理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氧气等助燃气体不混放可燃性气体与</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8.6.8</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bCs/>
                <w:color w:val="000000"/>
                <w:sz w:val="21"/>
                <w:szCs w:val="21"/>
              </w:rPr>
              <w:t>实验气体管理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气体管路连接正确、有标识，管路材质选择合适，无破损或老化现象，定期进行气体泄漏检查；存在多条气体管路的房间须张贴详细的管路图</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79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8.6.10</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实验气体管理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无大量气体钢瓶堆放现象；每间实验室内存放的氧气和可燃气体不宜超过一瓶，其他气瓶的存放，应控制在最小需求量；气体钢瓶不得放在走廊、大厅等公共场所</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8.7.2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bCs/>
                <w:color w:val="000000"/>
                <w:sz w:val="21"/>
                <w:szCs w:val="21"/>
              </w:rPr>
            </w:pPr>
            <w:r>
              <w:rPr>
                <w:rFonts w:hint="eastAsia" w:ascii="宋体" w:hAnsi="宋体" w:eastAsia="宋体" w:cs="宋体"/>
                <w:color w:val="000000"/>
                <w:sz w:val="21"/>
                <w:szCs w:val="21"/>
              </w:rPr>
              <w:t>化学废弃物管理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学校有统一的化学实验废弃物标签，包含废物类别、危险特性、主要成分、产生部门、送储人、日期等信息</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8.8.1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bCs/>
                <w:color w:val="000000"/>
                <w:sz w:val="21"/>
                <w:szCs w:val="21"/>
              </w:rPr>
            </w:pPr>
            <w:r>
              <w:rPr>
                <w:rFonts w:hint="eastAsia" w:ascii="宋体" w:hAnsi="宋体" w:eastAsia="宋体" w:cs="宋体"/>
                <w:color w:val="000000"/>
                <w:sz w:val="21"/>
                <w:szCs w:val="21"/>
              </w:rPr>
              <w:t>危化品仓库与废弃物中转站</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学校有危险品仓库、化学实验废弃物中转站，须有通风、隔热、避光、防盗、防爆、防静电、泄露报警、应急喷淋、安全警示标识等管控措施，符合相关规定，专人管理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其它化学安全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学校有统一的试剂标签（用于配置试剂、合成品、样品等），信息包括名称、浓度、责任人、日期、储存条件等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其它化学安全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无使用饮料瓶存放试剂、样品的现象。如确需存放，必须撕去原包装纸，贴上统一的试剂标签</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其它化学安全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用于浸泡玻璃器皿的酸缸、碱缸等有盖子盖上、标签明确</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9.2.3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场所与设施</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储存病原微生物的场所或储柜配备防盗设施，并安装监控报警装置</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sz w:val="21"/>
                <w:szCs w:val="21"/>
              </w:rPr>
              <w:t>病原微生物采购与保管</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高致病性病原微生物的转移和运输需按规定报卫生和农业主管部门批准，并按相应的运输包装要求包装后转移和运输</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sz w:val="21"/>
                <w:szCs w:val="21"/>
              </w:rPr>
              <w:t>病原微生物采购与保管</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病原微生物菌（毒）种保存在带锁冰箱或柜子中，高致病性病原微生物实行双人双锁管理</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9.3.5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sz w:val="21"/>
                <w:szCs w:val="21"/>
              </w:rPr>
              <w:t>病原微生物采购与保管</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有病原微生物菌（毒）种保存、实验使用、销毁的记录</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89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人员管理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开展病原微生物相关实验和研究的人员经过专业培训，考核合格，并取得证书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操作管理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BSL-2 /ABSL-2及以上等级实验室，开展病原微生物的相关实验活动应有风险评估和应急预案，包括病原微生物及感染材料溢出和意外事故的书面操作程序</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9.6.1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实验动物安全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饲养实验动物的场所应有资质证书</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9.6.2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sz w:val="21"/>
                <w:szCs w:val="21"/>
              </w:rPr>
            </w:pPr>
            <w:r>
              <w:rPr>
                <w:rFonts w:hint="eastAsia" w:ascii="宋体" w:hAnsi="宋体" w:eastAsia="宋体" w:cs="宋体"/>
                <w:color w:val="000000"/>
                <w:sz w:val="21"/>
                <w:szCs w:val="21"/>
              </w:rPr>
              <w:t>实验动物安全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实验动物需从具有资质的单位购买，有合格证明</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生物实验废物处置</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学校与有资质的单位签约处置生化废弃物，有交接记录</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生物实验废物处置</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配备了生化实验废弃物垃圾桶（一般内置黄色塑料袋），有标签；刀片、移液枪头等尖锐物应使用耐扎的利器盒/纸板箱盛放，送储时再装入黄色塑料袋，贴好标签。</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10.1.5</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实验室资质与人员要求</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涉源人员进入实验场所须佩带个人剂量计；委托有资质单位按时进行剂量检测（3个月一次），有合格的个人剂量检测报告。剂量计平时不能放在实验室场所</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10.2.4</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场所与设施</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涉源实验场所每年有合格的实验场所检测报告</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10.5.1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放射性实验废弃物的处置</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报废含有放射源或可产生放射性的设备，需报学校管理部门同意，并按国家规定进行退役处置；X光管报废时应敲碎，拍照留存</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11.1.8</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仪器设备常规管理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对于高温、高压、高速运动、电磁辐射等特殊设备，对使用者有培训要求，有安全警示标识和安全警示线（黄色），并配备相应安全防护设施</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99</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机械安全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高速切削机械操作，工作前穿好工作服，戴好防护眼镜，衣袖口应扣紧，长发学生戴好工作帽。工作场所禁戴手套、长围巾、领带、手镯等配饰物，禁穿拖鞋、高跟鞋等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hint="eastAsia" w:asciiTheme="minorEastAsia" w:hAnsiTheme="minorEastAsia"/>
                <w:sz w:val="24"/>
                <w:szCs w:val="24"/>
              </w:rPr>
              <w:t>100</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11.3.6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电气安全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高压、大电流等强电实验室要设定安全距离，按规定设置安全警示牌、安全信号灯、联动式警铃、门锁，有安全隔离装置或屏蔽遮栏（由金属制成，并可靠接地，高度不低于2米）；控制室（控制台）应铺橡胶、绝缘垫等</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101</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11.3.10</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电气安全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断电操作时，在电源箱处有明显警示标识，以防他人随意合闸</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102</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11.5.2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粉尘安全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大量粉状物质的储存与使用场所，选用防爆型的电气设备、防爆灯、防爆电气开关，导线敷设应选用镀锌管气或水煤管，必须达到整体防爆要求。</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103</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起重类设备</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操作人员须取得《特种设备作业人员证》，持证上岗，并每4年复审一次</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104</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12.2.1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压力容器</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压力大于0.1MPa且容积大于30L的压力容器，须取得《特种设备使用登记证》和《压力容器登记卡》</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105</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12.4.1</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冰箱管理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贮存危险化学品的冰箱为防爆冰箱或经过防爆改造的冰箱，禁止使用无霜型冰箱储存易燃易爆试剂</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heme="minorEastAsia" w:hAnsiTheme="minorEastAsia"/>
                <w:sz w:val="24"/>
                <w:szCs w:val="24"/>
              </w:rPr>
              <w:t>106</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12.5.3</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烘箱与电阻炉管理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不使用有故障、破损的烘箱、电阻炉；烘箱放置位置、高度合适，方便操作</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heme="minorEastAsia" w:hAnsiTheme="minorEastAsia"/>
                <w:sz w:val="24"/>
                <w:szCs w:val="24"/>
              </w:rPr>
            </w:pPr>
            <w:r>
              <w:rPr>
                <w:rFonts w:ascii="Times New Roman" w:hAnsi="Times New Roman" w:cs="Times New Roman"/>
                <w:color w:val="000000"/>
                <w:sz w:val="24"/>
                <w:szCs w:val="24"/>
              </w:rPr>
              <w:t>107</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12.5.6</w:t>
            </w:r>
          </w:p>
        </w:tc>
        <w:tc>
          <w:tcPr>
            <w:tcW w:w="1843"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烘箱与电阻炉管理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使用烘箱、电阻炉等加热设备时有人值守（或10-15分钟检查一次），或有实时监控设施；使用中的烘箱、电阻炉要标识使用人姓名</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shd w:val="clear" w:color="auto" w:fill="auto"/>
            <w:tcMar>
              <w:left w:w="45" w:type="dxa"/>
              <w:right w:w="45" w:type="dxa"/>
            </w:tcMar>
            <w:vAlign w:val="center"/>
          </w:tcPr>
          <w:p>
            <w:pPr>
              <w:spacing w:line="32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851" w:type="dxa"/>
            <w:shd w:val="clear" w:color="auto" w:fill="auto"/>
            <w:tcMar>
              <w:left w:w="45" w:type="dxa"/>
              <w:right w:w="45" w:type="dxa"/>
            </w:tcMar>
            <w:vAlign w:val="center"/>
          </w:tcPr>
          <w:p>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12.6.3</w:t>
            </w:r>
          </w:p>
        </w:tc>
        <w:tc>
          <w:tcPr>
            <w:tcW w:w="1843" w:type="dxa"/>
            <w:shd w:val="clear" w:color="auto" w:fill="auto"/>
            <w:tcMar>
              <w:left w:w="45" w:type="dxa"/>
              <w:right w:w="45" w:type="dxa"/>
            </w:tcMar>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明火电炉与电吹风等管理</w:t>
            </w:r>
          </w:p>
        </w:tc>
        <w:tc>
          <w:tcPr>
            <w:tcW w:w="5528" w:type="dxa"/>
            <w:shd w:val="clear" w:color="auto" w:fill="auto"/>
            <w:tcMar>
              <w:left w:w="45" w:type="dxa"/>
              <w:right w:w="45" w:type="dxa"/>
            </w:tcMar>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不使用明火电炉加热易燃易爆试剂</w:t>
            </w:r>
          </w:p>
        </w:tc>
        <w:tc>
          <w:tcPr>
            <w:tcW w:w="709" w:type="dxa"/>
            <w:shd w:val="clear" w:color="auto" w:fill="auto"/>
            <w:tcMar>
              <w:left w:w="45" w:type="dxa"/>
              <w:right w:w="45" w:type="dxa"/>
            </w:tcMar>
            <w:vAlign w:val="center"/>
          </w:tcPr>
          <w:p>
            <w:pPr>
              <w:spacing w:line="320" w:lineRule="exact"/>
              <w:jc w:val="center"/>
              <w:rPr>
                <w:rFonts w:hint="eastAsia"/>
                <w:sz w:val="24"/>
                <w:szCs w:val="24"/>
              </w:rPr>
            </w:pPr>
            <w:r>
              <w:rPr>
                <w:rFonts w:hint="eastAsia"/>
                <w:sz w:val="24"/>
                <w:szCs w:val="24"/>
              </w:rPr>
              <w:t>*</w:t>
            </w:r>
          </w:p>
        </w:tc>
      </w:tr>
    </w:tbl>
    <w:p>
      <w:pPr>
        <w:spacing w:before="156" w:beforeLines="50" w:line="500" w:lineRule="exact"/>
        <w:rPr>
          <w:rFonts w:ascii="Times New Roman" w:hAnsi="Times New Roman" w:cs="Times New Roman"/>
          <w:color w:val="000000"/>
          <w:sz w:val="24"/>
          <w:szCs w:val="24"/>
        </w:rPr>
      </w:pPr>
    </w:p>
    <w:p>
      <w:pPr>
        <w:spacing w:before="156" w:beforeLines="50" w:line="500" w:lineRule="exact"/>
        <w:jc w:val="left"/>
        <w:rPr>
          <w:rFonts w:hint="eastAsia" w:ascii="仿宋" w:hAnsi="仿宋" w:eastAsia="仿宋"/>
          <w:b/>
          <w:sz w:val="28"/>
          <w:szCs w:val="24"/>
        </w:rPr>
      </w:pPr>
      <w:r>
        <w:rPr>
          <w:rFonts w:hint="eastAsia" w:ascii="仿宋" w:hAnsi="仿宋" w:eastAsia="仿宋"/>
          <w:b/>
          <w:sz w:val="28"/>
          <w:szCs w:val="24"/>
        </w:rPr>
        <w:t>表</w:t>
      </w:r>
      <w:r>
        <w:rPr>
          <w:rFonts w:hint="eastAsia" w:ascii="仿宋" w:hAnsi="仿宋" w:eastAsia="仿宋"/>
          <w:b/>
          <w:sz w:val="28"/>
          <w:szCs w:val="24"/>
          <w:lang w:val="en-US" w:eastAsia="zh-CN"/>
        </w:rPr>
        <w:t>2</w:t>
      </w:r>
      <w:r>
        <w:rPr>
          <w:rFonts w:hint="eastAsia" w:ascii="仿宋" w:hAnsi="仿宋" w:eastAsia="仿宋"/>
          <w:b/>
          <w:sz w:val="28"/>
          <w:szCs w:val="24"/>
        </w:rPr>
        <w:t xml:space="preserve">. </w:t>
      </w:r>
    </w:p>
    <w:p>
      <w:pPr>
        <w:spacing w:before="156" w:beforeLines="50" w:line="500" w:lineRule="exact"/>
        <w:jc w:val="center"/>
        <w:rPr>
          <w:rFonts w:ascii="仿宋" w:hAnsi="仿宋" w:eastAsia="仿宋"/>
          <w:b/>
          <w:sz w:val="28"/>
          <w:szCs w:val="24"/>
        </w:rPr>
      </w:pPr>
      <w:r>
        <w:rPr>
          <w:rFonts w:hint="eastAsia" w:ascii="仿宋" w:hAnsi="仿宋" w:eastAsia="仿宋"/>
          <w:b/>
          <w:sz w:val="28"/>
          <w:szCs w:val="24"/>
        </w:rPr>
        <w:t>发现安全</w:t>
      </w:r>
      <w:r>
        <w:rPr>
          <w:rFonts w:ascii="仿宋" w:hAnsi="仿宋" w:eastAsia="仿宋"/>
          <w:b/>
          <w:sz w:val="28"/>
          <w:szCs w:val="24"/>
        </w:rPr>
        <w:t>隐患指标</w:t>
      </w:r>
      <w:r>
        <w:rPr>
          <w:rFonts w:hint="eastAsia" w:ascii="仿宋" w:hAnsi="仿宋" w:eastAsia="仿宋"/>
          <w:b/>
          <w:sz w:val="28"/>
          <w:szCs w:val="24"/>
        </w:rPr>
        <w:t>条款与</w:t>
      </w:r>
      <w:r>
        <w:rPr>
          <w:rFonts w:ascii="仿宋" w:hAnsi="仿宋" w:eastAsia="仿宋"/>
          <w:b/>
          <w:sz w:val="28"/>
          <w:szCs w:val="24"/>
        </w:rPr>
        <w:t>检查结</w:t>
      </w:r>
      <w:r>
        <w:rPr>
          <w:rFonts w:hint="eastAsia" w:ascii="仿宋" w:hAnsi="仿宋" w:eastAsia="仿宋"/>
          <w:b/>
          <w:sz w:val="28"/>
          <w:szCs w:val="24"/>
        </w:rPr>
        <w:t>果</w:t>
      </w:r>
      <w:r>
        <w:rPr>
          <w:rFonts w:ascii="仿宋" w:hAnsi="仿宋" w:eastAsia="仿宋"/>
          <w:b/>
          <w:sz w:val="28"/>
          <w:szCs w:val="24"/>
        </w:rPr>
        <w:t>的关系</w:t>
      </w:r>
    </w:p>
    <w:tbl>
      <w:tblPr>
        <w:tblStyle w:val="4"/>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24"/>
        <w:gridCol w:w="1631"/>
        <w:gridCol w:w="1695"/>
        <w:gridCol w:w="137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b/>
                <w:sz w:val="24"/>
              </w:rPr>
            </w:pPr>
            <w:r>
              <w:rPr>
                <w:rFonts w:hint="eastAsia" w:asciiTheme="minorEastAsia" w:hAnsiTheme="minorEastAsia"/>
                <w:b/>
                <w:sz w:val="24"/>
              </w:rPr>
              <w:t>序号</w:t>
            </w:r>
          </w:p>
        </w:tc>
        <w:tc>
          <w:tcPr>
            <w:tcW w:w="1724" w:type="dxa"/>
            <w:vAlign w:val="center"/>
          </w:tcPr>
          <w:p>
            <w:pPr>
              <w:jc w:val="center"/>
              <w:rPr>
                <w:rFonts w:asciiTheme="minorEastAsia" w:hAnsiTheme="minorEastAsia"/>
                <w:b/>
                <w:sz w:val="24"/>
              </w:rPr>
            </w:pPr>
            <w:r>
              <w:rPr>
                <w:rFonts w:asciiTheme="minorEastAsia" w:hAnsiTheme="minorEastAsia"/>
                <w:b/>
                <w:sz w:val="24"/>
              </w:rPr>
              <w:t>条款</w:t>
            </w:r>
            <w:r>
              <w:rPr>
                <w:rFonts w:hint="eastAsia" w:asciiTheme="minorEastAsia" w:hAnsiTheme="minorEastAsia"/>
                <w:b/>
                <w:sz w:val="24"/>
              </w:rPr>
              <w:t>类别</w:t>
            </w:r>
          </w:p>
        </w:tc>
        <w:tc>
          <w:tcPr>
            <w:tcW w:w="6118" w:type="dxa"/>
            <w:gridSpan w:val="4"/>
            <w:vAlign w:val="center"/>
          </w:tcPr>
          <w:p>
            <w:pPr>
              <w:jc w:val="center"/>
              <w:rPr>
                <w:rFonts w:asciiTheme="minorEastAsia" w:hAnsiTheme="minorEastAsia"/>
                <w:b/>
                <w:sz w:val="24"/>
              </w:rPr>
            </w:pPr>
            <w:r>
              <w:rPr>
                <w:rFonts w:hint="eastAsia" w:asciiTheme="minorEastAsia" w:hAnsiTheme="minorEastAsia"/>
                <w:b/>
                <w:sz w:val="24"/>
              </w:rPr>
              <w:t>不符合</w:t>
            </w:r>
            <w:r>
              <w:rPr>
                <w:rFonts w:asciiTheme="minorEastAsia" w:hAnsiTheme="minorEastAsia"/>
                <w:b/>
                <w:sz w:val="24"/>
              </w:rPr>
              <w:t>条款数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58" w:type="dxa"/>
            <w:vAlign w:val="center"/>
          </w:tcPr>
          <w:p>
            <w:pPr>
              <w:jc w:val="center"/>
              <w:rPr>
                <w:rFonts w:asciiTheme="minorEastAsia" w:hAnsiTheme="minorEastAsia"/>
                <w:sz w:val="24"/>
              </w:rPr>
            </w:pPr>
            <w:r>
              <w:rPr>
                <w:rFonts w:hint="eastAsia" w:asciiTheme="minorEastAsia" w:hAnsiTheme="minorEastAsia"/>
                <w:sz w:val="24"/>
              </w:rPr>
              <w:t>1</w:t>
            </w:r>
          </w:p>
        </w:tc>
        <w:tc>
          <w:tcPr>
            <w:tcW w:w="1724" w:type="dxa"/>
            <w:vAlign w:val="center"/>
          </w:tcPr>
          <w:p>
            <w:pPr>
              <w:jc w:val="center"/>
              <w:rPr>
                <w:rFonts w:asciiTheme="minorEastAsia" w:hAnsiTheme="minorEastAsia"/>
                <w:sz w:val="24"/>
              </w:rPr>
            </w:pPr>
            <w:r>
              <w:rPr>
                <w:rFonts w:hint="eastAsia" w:asciiTheme="minorEastAsia" w:hAnsiTheme="minorEastAsia"/>
                <w:sz w:val="24"/>
              </w:rPr>
              <w:t>三星***</w:t>
            </w:r>
          </w:p>
        </w:tc>
        <w:tc>
          <w:tcPr>
            <w:tcW w:w="1631" w:type="dxa"/>
            <w:vAlign w:val="center"/>
          </w:tcPr>
          <w:p>
            <w:pPr>
              <w:jc w:val="center"/>
              <w:rPr>
                <w:rFonts w:asciiTheme="minorEastAsia" w:hAnsiTheme="minorEastAsia"/>
                <w:sz w:val="24"/>
              </w:rPr>
            </w:pPr>
            <w:r>
              <w:rPr>
                <w:rFonts w:hint="eastAsia" w:asciiTheme="minorEastAsia" w:hAnsiTheme="minorEastAsia"/>
                <w:sz w:val="24"/>
              </w:rPr>
              <w:t>0</w:t>
            </w:r>
          </w:p>
        </w:tc>
        <w:tc>
          <w:tcPr>
            <w:tcW w:w="1695" w:type="dxa"/>
            <w:vAlign w:val="center"/>
          </w:tcPr>
          <w:p>
            <w:pPr>
              <w:jc w:val="center"/>
              <w:rPr>
                <w:rFonts w:asciiTheme="minorEastAsia" w:hAnsiTheme="minorEastAsia"/>
                <w:sz w:val="24"/>
              </w:rPr>
            </w:pPr>
            <w:r>
              <w:rPr>
                <w:rFonts w:hint="eastAsia" w:asciiTheme="minorEastAsia" w:hAnsiTheme="minorEastAsia"/>
                <w:sz w:val="24"/>
              </w:rPr>
              <w:t>0</w:t>
            </w:r>
          </w:p>
        </w:tc>
        <w:tc>
          <w:tcPr>
            <w:tcW w:w="1375" w:type="dxa"/>
            <w:vAlign w:val="center"/>
          </w:tcPr>
          <w:p>
            <w:pPr>
              <w:jc w:val="center"/>
              <w:rPr>
                <w:rFonts w:asciiTheme="minorEastAsia" w:hAnsiTheme="minorEastAsia"/>
                <w:sz w:val="24"/>
              </w:rPr>
            </w:pPr>
            <w:r>
              <w:rPr>
                <w:rFonts w:hint="eastAsia" w:asciiTheme="minorEastAsia" w:hAnsiTheme="minorEastAsia"/>
                <w:sz w:val="24"/>
              </w:rPr>
              <w:t>0</w:t>
            </w:r>
          </w:p>
        </w:tc>
        <w:tc>
          <w:tcPr>
            <w:tcW w:w="1417" w:type="dxa"/>
            <w:vAlign w:val="center"/>
          </w:tcPr>
          <w:p>
            <w:pPr>
              <w:jc w:val="center"/>
              <w:rPr>
                <w:rFonts w:asciiTheme="minorEastAsia" w:hAnsiTheme="minorEastAsia"/>
                <w:sz w:val="24"/>
              </w:rPr>
            </w:pPr>
            <w:r>
              <w:rPr>
                <w:rFonts w:hint="eastAsia" w:asciiTheme="minorEastAsia" w:hAnsiTheme="minor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8" w:type="dxa"/>
            <w:vAlign w:val="center"/>
          </w:tcPr>
          <w:p>
            <w:pPr>
              <w:jc w:val="center"/>
              <w:rPr>
                <w:rFonts w:asciiTheme="minorEastAsia" w:hAnsiTheme="minorEastAsia"/>
                <w:sz w:val="24"/>
              </w:rPr>
            </w:pPr>
            <w:r>
              <w:rPr>
                <w:rFonts w:hint="eastAsia" w:asciiTheme="minorEastAsia" w:hAnsiTheme="minorEastAsia"/>
                <w:sz w:val="24"/>
              </w:rPr>
              <w:t>2</w:t>
            </w:r>
          </w:p>
        </w:tc>
        <w:tc>
          <w:tcPr>
            <w:tcW w:w="1724" w:type="dxa"/>
            <w:vAlign w:val="center"/>
          </w:tcPr>
          <w:p>
            <w:pPr>
              <w:jc w:val="center"/>
              <w:rPr>
                <w:rFonts w:asciiTheme="minorEastAsia" w:hAnsiTheme="minorEastAsia"/>
                <w:sz w:val="24"/>
              </w:rPr>
            </w:pPr>
            <w:r>
              <w:rPr>
                <w:rFonts w:hint="eastAsia" w:asciiTheme="minorEastAsia" w:hAnsiTheme="minorEastAsia"/>
                <w:sz w:val="24"/>
              </w:rPr>
              <w:t>二星**</w:t>
            </w:r>
          </w:p>
        </w:tc>
        <w:tc>
          <w:tcPr>
            <w:tcW w:w="1631" w:type="dxa"/>
            <w:vAlign w:val="center"/>
          </w:tcPr>
          <w:p>
            <w:pPr>
              <w:jc w:val="center"/>
              <w:rPr>
                <w:rFonts w:asciiTheme="minorEastAsia" w:hAnsiTheme="minorEastAsia"/>
                <w:sz w:val="24"/>
              </w:rPr>
            </w:pPr>
            <w:r>
              <w:rPr>
                <w:rFonts w:hint="eastAsia" w:asciiTheme="minorEastAsia" w:hAnsiTheme="minorEastAsia"/>
                <w:sz w:val="24"/>
              </w:rPr>
              <w:t>0</w:t>
            </w:r>
          </w:p>
        </w:tc>
        <w:tc>
          <w:tcPr>
            <w:tcW w:w="1695" w:type="dxa"/>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7</w:t>
            </w:r>
          </w:p>
        </w:tc>
        <w:tc>
          <w:tcPr>
            <w:tcW w:w="1375" w:type="dxa"/>
            <w:vAlign w:val="center"/>
          </w:tcPr>
          <w:p>
            <w:pPr>
              <w:jc w:val="center"/>
              <w:rPr>
                <w:rFonts w:asciiTheme="minorEastAsia" w:hAnsiTheme="minorEastAsia"/>
                <w:sz w:val="24"/>
              </w:rPr>
            </w:pPr>
            <w:r>
              <w:rPr>
                <w:rFonts w:hint="eastAsia" w:asciiTheme="minorEastAsia" w:hAnsiTheme="minorEastAsia"/>
                <w:sz w:val="24"/>
              </w:rPr>
              <w:t>8</w:t>
            </w:r>
            <w:r>
              <w:rPr>
                <w:rFonts w:asciiTheme="minorEastAsia" w:hAnsiTheme="minorEastAsia"/>
                <w:sz w:val="24"/>
              </w:rPr>
              <w:t>-</w:t>
            </w:r>
            <w:r>
              <w:rPr>
                <w:rFonts w:hint="eastAsia" w:asciiTheme="minorEastAsia" w:hAnsiTheme="minorEastAsia"/>
                <w:sz w:val="24"/>
              </w:rPr>
              <w:t>14</w:t>
            </w:r>
          </w:p>
        </w:tc>
        <w:tc>
          <w:tcPr>
            <w:tcW w:w="1417" w:type="dxa"/>
            <w:vAlign w:val="center"/>
          </w:tcPr>
          <w:p>
            <w:pPr>
              <w:jc w:val="center"/>
              <w:rPr>
                <w:rFonts w:asciiTheme="minorEastAsia" w:hAnsiTheme="minorEastAsia"/>
                <w:sz w:val="24"/>
              </w:rPr>
            </w:pPr>
            <w:r>
              <w:rPr>
                <w:rFonts w:hint="eastAsia" w:asciiTheme="minorEastAsia" w:hAnsiTheme="minorEastAsia"/>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58" w:type="dxa"/>
            <w:vAlign w:val="center"/>
          </w:tcPr>
          <w:p>
            <w:pPr>
              <w:jc w:val="center"/>
              <w:rPr>
                <w:rFonts w:asciiTheme="minorEastAsia" w:hAnsiTheme="minorEastAsia"/>
                <w:sz w:val="24"/>
              </w:rPr>
            </w:pPr>
            <w:r>
              <w:rPr>
                <w:rFonts w:hint="eastAsia" w:asciiTheme="minorEastAsia" w:hAnsiTheme="minorEastAsia"/>
                <w:sz w:val="24"/>
              </w:rPr>
              <w:t>3</w:t>
            </w:r>
          </w:p>
        </w:tc>
        <w:tc>
          <w:tcPr>
            <w:tcW w:w="1724" w:type="dxa"/>
            <w:vAlign w:val="center"/>
          </w:tcPr>
          <w:p>
            <w:pPr>
              <w:jc w:val="center"/>
              <w:rPr>
                <w:rFonts w:asciiTheme="minorEastAsia" w:hAnsiTheme="minorEastAsia"/>
                <w:sz w:val="24"/>
              </w:rPr>
            </w:pPr>
            <w:r>
              <w:rPr>
                <w:rFonts w:hint="eastAsia" w:asciiTheme="minorEastAsia" w:hAnsiTheme="minorEastAsia"/>
                <w:sz w:val="24"/>
              </w:rPr>
              <w:t>一星*</w:t>
            </w:r>
          </w:p>
        </w:tc>
        <w:tc>
          <w:tcPr>
            <w:tcW w:w="1631" w:type="dxa"/>
            <w:vAlign w:val="center"/>
          </w:tcPr>
          <w:p>
            <w:pPr>
              <w:jc w:val="center"/>
              <w:rPr>
                <w:rFonts w:asciiTheme="minorEastAsia" w:hAnsiTheme="minorEastAsia"/>
                <w:sz w:val="24"/>
              </w:rPr>
            </w:pPr>
            <w:r>
              <w:rPr>
                <w:rFonts w:hint="eastAsia" w:asciiTheme="minorEastAsia" w:hAnsiTheme="minorEastAsia"/>
                <w:sz w:val="24"/>
              </w:rPr>
              <w:t>2</w:t>
            </w:r>
          </w:p>
        </w:tc>
        <w:tc>
          <w:tcPr>
            <w:tcW w:w="1695" w:type="dxa"/>
            <w:vAlign w:val="center"/>
          </w:tcPr>
          <w:p>
            <w:pPr>
              <w:jc w:val="center"/>
              <w:rPr>
                <w:rFonts w:asciiTheme="minorEastAsia" w:hAnsiTheme="minorEastAsia"/>
                <w:sz w:val="24"/>
              </w:rPr>
            </w:pPr>
            <w:r>
              <w:rPr>
                <w:rFonts w:hint="eastAsia" w:asciiTheme="minorEastAsia" w:hAnsiTheme="minorEastAsia"/>
                <w:sz w:val="24"/>
              </w:rPr>
              <w:t>3</w:t>
            </w:r>
            <w:r>
              <w:rPr>
                <w:rFonts w:asciiTheme="minorEastAsia" w:hAnsiTheme="minorEastAsia"/>
                <w:sz w:val="24"/>
              </w:rPr>
              <w:t>-15</w:t>
            </w:r>
          </w:p>
        </w:tc>
        <w:tc>
          <w:tcPr>
            <w:tcW w:w="1375" w:type="dxa"/>
            <w:vAlign w:val="center"/>
          </w:tcPr>
          <w:p>
            <w:pPr>
              <w:jc w:val="center"/>
              <w:rPr>
                <w:rFonts w:asciiTheme="minorEastAsia" w:hAnsiTheme="minorEastAsia"/>
                <w:sz w:val="24"/>
              </w:rPr>
            </w:pPr>
            <w:r>
              <w:rPr>
                <w:rFonts w:asciiTheme="minorEastAsia" w:hAnsiTheme="minorEastAsia"/>
                <w:sz w:val="24"/>
              </w:rPr>
              <w:t>16-25</w:t>
            </w:r>
          </w:p>
        </w:tc>
        <w:tc>
          <w:tcPr>
            <w:tcW w:w="1417" w:type="dxa"/>
            <w:vAlign w:val="center"/>
          </w:tcPr>
          <w:p>
            <w:pPr>
              <w:jc w:val="center"/>
              <w:rPr>
                <w:rFonts w:asciiTheme="minorEastAsia" w:hAnsiTheme="minorEastAsia"/>
                <w:sz w:val="24"/>
              </w:rPr>
            </w:pPr>
            <w:r>
              <w:rPr>
                <w:rFonts w:hint="eastAsia" w:asciiTheme="minorEastAsia" w:hAnsiTheme="minorEastAsia"/>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58" w:type="dxa"/>
            <w:vAlign w:val="center"/>
          </w:tcPr>
          <w:p>
            <w:pPr>
              <w:jc w:val="center"/>
              <w:rPr>
                <w:rFonts w:asciiTheme="minorEastAsia" w:hAnsiTheme="minorEastAsia"/>
                <w:sz w:val="24"/>
              </w:rPr>
            </w:pPr>
            <w:r>
              <w:rPr>
                <w:rFonts w:hint="eastAsia" w:asciiTheme="minorEastAsia" w:hAnsiTheme="minorEastAsia"/>
                <w:sz w:val="24"/>
              </w:rPr>
              <w:t>4</w:t>
            </w:r>
          </w:p>
        </w:tc>
        <w:tc>
          <w:tcPr>
            <w:tcW w:w="1724" w:type="dxa"/>
            <w:vAlign w:val="center"/>
          </w:tcPr>
          <w:p>
            <w:pPr>
              <w:jc w:val="center"/>
              <w:rPr>
                <w:rFonts w:asciiTheme="minorEastAsia" w:hAnsiTheme="minorEastAsia"/>
                <w:sz w:val="24"/>
              </w:rPr>
            </w:pPr>
            <w:r>
              <w:rPr>
                <w:rFonts w:hint="eastAsia" w:asciiTheme="minorEastAsia" w:hAnsiTheme="minorEastAsia"/>
                <w:sz w:val="24"/>
              </w:rPr>
              <w:t>所有条款数</w:t>
            </w:r>
          </w:p>
        </w:tc>
        <w:tc>
          <w:tcPr>
            <w:tcW w:w="1631" w:type="dxa"/>
            <w:vAlign w:val="center"/>
          </w:tcPr>
          <w:p>
            <w:pPr>
              <w:jc w:val="center"/>
              <w:rPr>
                <w:rFonts w:asciiTheme="minorEastAsia" w:hAnsiTheme="minorEastAsia"/>
                <w:sz w:val="24"/>
              </w:rPr>
            </w:pPr>
            <w:r>
              <w:rPr>
                <w:rFonts w:hint="eastAsia" w:asciiTheme="minorEastAsia" w:hAnsiTheme="minorEastAsia"/>
                <w:sz w:val="24"/>
              </w:rPr>
              <w:t>8</w:t>
            </w:r>
          </w:p>
        </w:tc>
        <w:tc>
          <w:tcPr>
            <w:tcW w:w="1695" w:type="dxa"/>
            <w:vAlign w:val="center"/>
          </w:tcPr>
          <w:p>
            <w:pPr>
              <w:jc w:val="center"/>
              <w:rPr>
                <w:rFonts w:asciiTheme="minorEastAsia" w:hAnsiTheme="minorEastAsia"/>
                <w:sz w:val="24"/>
              </w:rPr>
            </w:pPr>
            <w:r>
              <w:rPr>
                <w:rFonts w:hint="eastAsia" w:asciiTheme="minorEastAsia" w:hAnsiTheme="minorEastAsia"/>
                <w:sz w:val="24"/>
              </w:rPr>
              <w:t>9-</w:t>
            </w:r>
            <w:r>
              <w:rPr>
                <w:rFonts w:asciiTheme="minorEastAsia" w:hAnsiTheme="minorEastAsia"/>
                <w:sz w:val="24"/>
              </w:rPr>
              <w:t>30</w:t>
            </w:r>
          </w:p>
        </w:tc>
        <w:tc>
          <w:tcPr>
            <w:tcW w:w="1375" w:type="dxa"/>
            <w:vAlign w:val="center"/>
          </w:tcPr>
          <w:p>
            <w:pPr>
              <w:jc w:val="center"/>
              <w:rPr>
                <w:rFonts w:asciiTheme="minorEastAsia" w:hAnsiTheme="minorEastAsia"/>
                <w:sz w:val="24"/>
              </w:rPr>
            </w:pPr>
            <w:r>
              <w:rPr>
                <w:rFonts w:asciiTheme="minorEastAsia" w:hAnsiTheme="minorEastAsia"/>
                <w:sz w:val="24"/>
              </w:rPr>
              <w:t>31</w:t>
            </w:r>
            <w:r>
              <w:rPr>
                <w:rFonts w:hint="eastAsia" w:asciiTheme="minorEastAsia" w:hAnsiTheme="minorEastAsia"/>
                <w:sz w:val="24"/>
              </w:rPr>
              <w:t>-40</w:t>
            </w:r>
          </w:p>
        </w:tc>
        <w:tc>
          <w:tcPr>
            <w:tcW w:w="1417" w:type="dxa"/>
            <w:vAlign w:val="center"/>
          </w:tcPr>
          <w:p>
            <w:pPr>
              <w:jc w:val="center"/>
              <w:rPr>
                <w:rFonts w:asciiTheme="minorEastAsia" w:hAnsiTheme="minorEastAsia"/>
                <w:sz w:val="24"/>
              </w:rPr>
            </w:pPr>
            <w:r>
              <w:rPr>
                <w:rFonts w:hint="eastAsia" w:asciiTheme="minorEastAsia" w:hAnsiTheme="minorEastAsia"/>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58" w:type="dxa"/>
            <w:vAlign w:val="center"/>
          </w:tcPr>
          <w:p>
            <w:pPr>
              <w:jc w:val="center"/>
              <w:rPr>
                <w:rFonts w:asciiTheme="minorEastAsia" w:hAnsiTheme="minorEastAsia"/>
                <w:b/>
                <w:sz w:val="24"/>
              </w:rPr>
            </w:pPr>
          </w:p>
        </w:tc>
        <w:tc>
          <w:tcPr>
            <w:tcW w:w="1724" w:type="dxa"/>
            <w:vAlign w:val="center"/>
          </w:tcPr>
          <w:p>
            <w:pPr>
              <w:jc w:val="center"/>
              <w:rPr>
                <w:rFonts w:asciiTheme="minorEastAsia" w:hAnsiTheme="minorEastAsia"/>
                <w:sz w:val="24"/>
              </w:rPr>
            </w:pPr>
            <w:r>
              <w:rPr>
                <w:rFonts w:hint="eastAsia" w:asciiTheme="minorEastAsia" w:hAnsiTheme="minorEastAsia"/>
                <w:b/>
                <w:sz w:val="24"/>
              </w:rPr>
              <w:t>检查结果</w:t>
            </w:r>
          </w:p>
        </w:tc>
        <w:tc>
          <w:tcPr>
            <w:tcW w:w="1631" w:type="dxa"/>
            <w:vAlign w:val="center"/>
          </w:tcPr>
          <w:p>
            <w:pPr>
              <w:jc w:val="center"/>
              <w:rPr>
                <w:rFonts w:hint="eastAsia" w:asciiTheme="minorEastAsia" w:hAnsiTheme="minorEastAsia" w:eastAsiaTheme="minorEastAsia"/>
                <w:b/>
                <w:sz w:val="24"/>
                <w:lang w:eastAsia="zh-CN"/>
              </w:rPr>
            </w:pPr>
            <w:r>
              <w:rPr>
                <w:rFonts w:hint="eastAsia" w:asciiTheme="minorEastAsia" w:hAnsiTheme="minorEastAsia"/>
                <w:b/>
                <w:sz w:val="24"/>
                <w:lang w:val="en-US" w:eastAsia="zh-CN"/>
              </w:rPr>
              <w:t>A</w:t>
            </w:r>
          </w:p>
        </w:tc>
        <w:tc>
          <w:tcPr>
            <w:tcW w:w="1695" w:type="dxa"/>
            <w:vAlign w:val="center"/>
          </w:tcPr>
          <w:p>
            <w:pPr>
              <w:jc w:val="center"/>
              <w:rPr>
                <w:rFonts w:hint="eastAsia" w:asciiTheme="minorEastAsia" w:hAnsiTheme="minorEastAsia" w:eastAsiaTheme="minorEastAsia"/>
                <w:b/>
                <w:sz w:val="24"/>
                <w:lang w:eastAsia="zh-CN"/>
              </w:rPr>
            </w:pPr>
            <w:r>
              <w:rPr>
                <w:rFonts w:hint="eastAsia" w:asciiTheme="minorEastAsia" w:hAnsiTheme="minorEastAsia"/>
                <w:b/>
                <w:sz w:val="24"/>
                <w:lang w:val="en-US" w:eastAsia="zh-CN"/>
              </w:rPr>
              <w:t>B</w:t>
            </w:r>
          </w:p>
        </w:tc>
        <w:tc>
          <w:tcPr>
            <w:tcW w:w="1375" w:type="dxa"/>
            <w:vAlign w:val="center"/>
          </w:tcPr>
          <w:p>
            <w:pPr>
              <w:jc w:val="center"/>
              <w:rPr>
                <w:rFonts w:hint="eastAsia" w:asciiTheme="minorEastAsia" w:hAnsiTheme="minorEastAsia" w:eastAsiaTheme="minorEastAsia"/>
                <w:b/>
                <w:sz w:val="24"/>
                <w:lang w:eastAsia="zh-CN"/>
              </w:rPr>
            </w:pPr>
            <w:r>
              <w:rPr>
                <w:rFonts w:hint="eastAsia" w:asciiTheme="minorEastAsia" w:hAnsiTheme="minorEastAsia"/>
                <w:b/>
                <w:sz w:val="24"/>
                <w:lang w:val="en-US" w:eastAsia="zh-CN"/>
              </w:rPr>
              <w:t>C</w:t>
            </w:r>
          </w:p>
        </w:tc>
        <w:tc>
          <w:tcPr>
            <w:tcW w:w="1417" w:type="dxa"/>
            <w:vAlign w:val="center"/>
          </w:tcPr>
          <w:p>
            <w:pPr>
              <w:jc w:val="center"/>
              <w:rPr>
                <w:rFonts w:hint="eastAsia" w:asciiTheme="minorEastAsia" w:hAnsiTheme="minorEastAsia" w:eastAsiaTheme="minorEastAsia"/>
                <w:b/>
                <w:sz w:val="24"/>
                <w:lang w:eastAsia="zh-CN"/>
              </w:rPr>
            </w:pPr>
            <w:r>
              <w:rPr>
                <w:rFonts w:hint="eastAsia" w:asciiTheme="minorEastAsia" w:hAnsiTheme="minorEastAsia"/>
                <w:b/>
                <w:sz w:val="24"/>
                <w:lang w:val="en-US" w:eastAsia="zh-CN"/>
              </w:rPr>
              <w:t>D</w:t>
            </w:r>
          </w:p>
        </w:tc>
      </w:tr>
    </w:tbl>
    <w:p>
      <w:pPr>
        <w:spacing w:line="440" w:lineRule="exact"/>
        <w:ind w:firstLine="240" w:firstLineChars="100"/>
        <w:rPr>
          <w:rFonts w:ascii="仿宋" w:hAnsi="仿宋" w:eastAsia="仿宋"/>
          <w:sz w:val="24"/>
          <w:szCs w:val="24"/>
        </w:rPr>
      </w:pPr>
      <w:r>
        <w:rPr>
          <w:rFonts w:hint="eastAsia" w:ascii="仿宋" w:hAnsi="仿宋" w:eastAsia="仿宋"/>
          <w:sz w:val="24"/>
          <w:szCs w:val="24"/>
        </w:rPr>
        <w:t>注1.以上</w:t>
      </w:r>
      <w:r>
        <w:rPr>
          <w:rFonts w:ascii="仿宋" w:hAnsi="仿宋" w:eastAsia="仿宋"/>
          <w:sz w:val="24"/>
          <w:szCs w:val="24"/>
        </w:rPr>
        <w:t>判别</w:t>
      </w:r>
      <w:r>
        <w:rPr>
          <w:rFonts w:hint="eastAsia" w:ascii="仿宋" w:hAnsi="仿宋" w:eastAsia="仿宋"/>
          <w:sz w:val="24"/>
          <w:szCs w:val="24"/>
        </w:rPr>
        <w:t>条款数</w:t>
      </w:r>
      <w:r>
        <w:rPr>
          <w:rFonts w:ascii="仿宋" w:hAnsi="仿宋" w:eastAsia="仿宋"/>
          <w:sz w:val="24"/>
          <w:szCs w:val="24"/>
        </w:rPr>
        <w:t>，是并列的，只要符合</w:t>
      </w:r>
      <w:r>
        <w:rPr>
          <w:rFonts w:hint="eastAsia" w:ascii="仿宋" w:hAnsi="仿宋" w:eastAsia="仿宋"/>
          <w:sz w:val="24"/>
          <w:szCs w:val="24"/>
        </w:rPr>
        <w:t>1条</w:t>
      </w:r>
      <w:r>
        <w:rPr>
          <w:rFonts w:ascii="仿宋" w:hAnsi="仿宋" w:eastAsia="仿宋"/>
          <w:sz w:val="24"/>
          <w:szCs w:val="24"/>
        </w:rPr>
        <w:t>即可</w:t>
      </w:r>
      <w:r>
        <w:rPr>
          <w:rFonts w:hint="eastAsia" w:ascii="仿宋" w:hAnsi="仿宋" w:eastAsia="仿宋"/>
          <w:sz w:val="24"/>
          <w:szCs w:val="24"/>
        </w:rPr>
        <w:t>判</w:t>
      </w:r>
      <w:r>
        <w:rPr>
          <w:rFonts w:ascii="仿宋" w:hAnsi="仿宋" w:eastAsia="仿宋"/>
          <w:sz w:val="24"/>
          <w:szCs w:val="24"/>
        </w:rPr>
        <w:t>为相应的</w:t>
      </w:r>
      <w:r>
        <w:rPr>
          <w:rFonts w:hint="eastAsia" w:ascii="仿宋" w:hAnsi="仿宋" w:eastAsia="仿宋"/>
          <w:sz w:val="24"/>
          <w:szCs w:val="24"/>
        </w:rPr>
        <w:t>等级</w:t>
      </w:r>
      <w:r>
        <w:rPr>
          <w:rFonts w:ascii="仿宋" w:hAnsi="仿宋" w:eastAsia="仿宋"/>
          <w:sz w:val="24"/>
          <w:szCs w:val="24"/>
        </w:rPr>
        <w:t>。</w:t>
      </w:r>
    </w:p>
    <w:p>
      <w:pPr>
        <w:spacing w:line="440" w:lineRule="exact"/>
        <w:ind w:firstLine="240" w:firstLineChars="100"/>
        <w:rPr>
          <w:rFonts w:ascii="仿宋" w:hAnsi="仿宋" w:eastAsia="仿宋"/>
          <w:sz w:val="24"/>
          <w:szCs w:val="24"/>
        </w:rPr>
      </w:pPr>
      <w:r>
        <w:rPr>
          <w:rFonts w:hint="eastAsia" w:ascii="仿宋" w:hAnsi="仿宋" w:eastAsia="仿宋"/>
          <w:sz w:val="24"/>
          <w:szCs w:val="24"/>
        </w:rPr>
        <w:t>注2.凡是</w:t>
      </w:r>
      <w:r>
        <w:rPr>
          <w:rFonts w:ascii="仿宋" w:hAnsi="仿宋" w:eastAsia="仿宋"/>
          <w:sz w:val="24"/>
          <w:szCs w:val="24"/>
        </w:rPr>
        <w:t>有不符合条款</w:t>
      </w:r>
      <w:r>
        <w:rPr>
          <w:rFonts w:hint="eastAsia" w:ascii="仿宋" w:hAnsi="仿宋" w:eastAsia="仿宋"/>
          <w:sz w:val="24"/>
          <w:szCs w:val="24"/>
        </w:rPr>
        <w:t>而</w:t>
      </w:r>
      <w:r>
        <w:rPr>
          <w:rFonts w:ascii="仿宋" w:hAnsi="仿宋" w:eastAsia="仿宋"/>
          <w:sz w:val="24"/>
          <w:szCs w:val="24"/>
        </w:rPr>
        <w:t>结果为</w:t>
      </w:r>
      <w:r>
        <w:rPr>
          <w:rFonts w:hint="eastAsia" w:ascii="仿宋" w:hAnsi="仿宋" w:eastAsia="仿宋"/>
          <w:sz w:val="24"/>
          <w:szCs w:val="24"/>
          <w:lang w:val="en-US" w:eastAsia="zh-CN"/>
        </w:rPr>
        <w:t>A级（通过）</w:t>
      </w:r>
      <w:r>
        <w:rPr>
          <w:rFonts w:hint="eastAsia" w:ascii="仿宋" w:hAnsi="仿宋" w:eastAsia="仿宋"/>
          <w:sz w:val="24"/>
          <w:szCs w:val="24"/>
        </w:rPr>
        <w:t>者</w:t>
      </w:r>
      <w:r>
        <w:rPr>
          <w:rFonts w:ascii="仿宋" w:hAnsi="仿宋" w:eastAsia="仿宋"/>
          <w:sz w:val="24"/>
          <w:szCs w:val="24"/>
        </w:rPr>
        <w:t>，</w:t>
      </w:r>
      <w:r>
        <w:rPr>
          <w:rFonts w:hint="eastAsia" w:ascii="仿宋" w:hAnsi="仿宋" w:eastAsia="仿宋"/>
          <w:sz w:val="24"/>
          <w:szCs w:val="24"/>
        </w:rPr>
        <w:t>仍需按</w:t>
      </w:r>
      <w:r>
        <w:rPr>
          <w:rFonts w:ascii="仿宋" w:hAnsi="仿宋" w:eastAsia="仿宋"/>
          <w:sz w:val="24"/>
          <w:szCs w:val="24"/>
        </w:rPr>
        <w:t>规则上报《</w:t>
      </w:r>
      <w:r>
        <w:rPr>
          <w:rFonts w:hint="eastAsia" w:ascii="仿宋" w:hAnsi="仿宋" w:eastAsia="仿宋"/>
          <w:sz w:val="24"/>
          <w:szCs w:val="24"/>
        </w:rPr>
        <w:t>整改</w:t>
      </w:r>
      <w:r>
        <w:rPr>
          <w:rFonts w:ascii="仿宋" w:hAnsi="仿宋" w:eastAsia="仿宋"/>
          <w:sz w:val="24"/>
          <w:szCs w:val="24"/>
        </w:rPr>
        <w:t>报告》</w:t>
      </w:r>
      <w:r>
        <w:rPr>
          <w:rFonts w:hint="eastAsia" w:ascii="仿宋" w:hAnsi="仿宋" w:eastAsia="仿宋"/>
          <w:sz w:val="24"/>
          <w:szCs w:val="24"/>
        </w:rPr>
        <w:t>。</w:t>
      </w:r>
    </w:p>
    <w:p>
      <w:pPr>
        <w:spacing w:line="440" w:lineRule="exact"/>
        <w:ind w:firstLine="240" w:firstLineChars="100"/>
        <w:rPr>
          <w:rFonts w:ascii="仿宋" w:hAnsi="仿宋" w:eastAsia="仿宋"/>
          <w:sz w:val="24"/>
          <w:szCs w:val="24"/>
        </w:rPr>
      </w:pPr>
      <w:r>
        <w:rPr>
          <w:rFonts w:hint="eastAsia" w:ascii="仿宋" w:hAnsi="仿宋" w:eastAsia="仿宋"/>
          <w:sz w:val="24"/>
          <w:szCs w:val="24"/>
        </w:rPr>
        <w:t>注3.对于</w:t>
      </w:r>
      <w:r>
        <w:rPr>
          <w:rFonts w:hint="eastAsia" w:ascii="仿宋" w:hAnsi="仿宋" w:eastAsia="仿宋"/>
          <w:sz w:val="24"/>
          <w:szCs w:val="24"/>
          <w:lang w:val="en-US" w:eastAsia="zh-CN"/>
        </w:rPr>
        <w:t>C级</w:t>
      </w:r>
      <w:r>
        <w:rPr>
          <w:rFonts w:ascii="仿宋" w:hAnsi="仿宋" w:eastAsia="仿宋"/>
          <w:sz w:val="24"/>
          <w:szCs w:val="24"/>
        </w:rPr>
        <w:t>，现场复查可</w:t>
      </w:r>
      <w:r>
        <w:rPr>
          <w:rFonts w:hint="eastAsia" w:ascii="仿宋" w:hAnsi="仿宋" w:eastAsia="仿宋"/>
          <w:sz w:val="24"/>
          <w:szCs w:val="24"/>
        </w:rPr>
        <w:t>由</w:t>
      </w:r>
      <w:r>
        <w:rPr>
          <w:rFonts w:ascii="仿宋" w:hAnsi="仿宋" w:eastAsia="仿宋"/>
          <w:sz w:val="24"/>
          <w:szCs w:val="24"/>
        </w:rPr>
        <w:t>组长或委派1名本组成员</w:t>
      </w:r>
      <w:r>
        <w:rPr>
          <w:rFonts w:hint="eastAsia" w:ascii="仿宋" w:hAnsi="仿宋" w:eastAsia="仿宋"/>
          <w:sz w:val="24"/>
          <w:szCs w:val="24"/>
        </w:rPr>
        <w:t>赴</w:t>
      </w:r>
      <w:r>
        <w:rPr>
          <w:rFonts w:ascii="仿宋" w:hAnsi="仿宋" w:eastAsia="仿宋"/>
          <w:sz w:val="24"/>
          <w:szCs w:val="24"/>
        </w:rPr>
        <w:t>被检查高校完成。</w:t>
      </w:r>
    </w:p>
    <w:p>
      <w:pPr>
        <w:spacing w:line="440" w:lineRule="exact"/>
        <w:ind w:firstLine="240" w:firstLineChars="100"/>
        <w:rPr>
          <w:rFonts w:ascii="仿宋" w:hAnsi="仿宋" w:eastAsia="仿宋"/>
          <w:sz w:val="24"/>
          <w:szCs w:val="24"/>
        </w:rPr>
      </w:pPr>
      <w:r>
        <w:rPr>
          <w:rFonts w:hint="eastAsia" w:ascii="仿宋" w:hAnsi="仿宋" w:eastAsia="仿宋"/>
          <w:sz w:val="24"/>
          <w:szCs w:val="24"/>
        </w:rPr>
        <w:t>注4.检查</w:t>
      </w:r>
      <w:r>
        <w:rPr>
          <w:rFonts w:ascii="仿宋" w:hAnsi="仿宋" w:eastAsia="仿宋"/>
          <w:sz w:val="24"/>
          <w:szCs w:val="24"/>
        </w:rPr>
        <w:t>结果将予以通报。</w:t>
      </w:r>
      <w:r>
        <w:rPr>
          <w:rFonts w:hint="eastAsia" w:ascii="仿宋" w:hAnsi="仿宋" w:eastAsia="仿宋"/>
          <w:sz w:val="24"/>
          <w:szCs w:val="24"/>
        </w:rPr>
        <w:t>对于</w:t>
      </w:r>
      <w:r>
        <w:rPr>
          <w:rFonts w:hint="eastAsia" w:ascii="仿宋" w:hAnsi="仿宋" w:eastAsia="仿宋"/>
          <w:sz w:val="24"/>
          <w:szCs w:val="24"/>
          <w:lang w:val="en-US" w:eastAsia="zh-CN"/>
        </w:rPr>
        <w:t>D级</w:t>
      </w:r>
      <w:r>
        <w:rPr>
          <w:rFonts w:ascii="仿宋" w:hAnsi="仿宋" w:eastAsia="仿宋"/>
          <w:sz w:val="24"/>
          <w:szCs w:val="24"/>
        </w:rPr>
        <w:t>，</w:t>
      </w:r>
      <w:r>
        <w:rPr>
          <w:rFonts w:hint="eastAsia" w:ascii="仿宋" w:hAnsi="仿宋" w:eastAsia="仿宋"/>
          <w:sz w:val="24"/>
          <w:szCs w:val="24"/>
        </w:rPr>
        <w:t>限期2个月</w:t>
      </w:r>
      <w:r>
        <w:rPr>
          <w:rFonts w:ascii="仿宋" w:hAnsi="仿宋" w:eastAsia="仿宋"/>
          <w:sz w:val="24"/>
          <w:szCs w:val="24"/>
        </w:rPr>
        <w:t>整改，检查组再次进校。</w:t>
      </w:r>
    </w:p>
    <w:p>
      <w:pPr>
        <w:spacing w:line="440" w:lineRule="exact"/>
        <w:ind w:firstLine="240" w:firstLineChars="100"/>
        <w:rPr>
          <w:rFonts w:hint="eastAsia" w:ascii="仿宋" w:hAnsi="仿宋" w:eastAsia="仿宋"/>
          <w:sz w:val="28"/>
          <w:szCs w:val="24"/>
        </w:rPr>
      </w:pPr>
      <w:r>
        <w:rPr>
          <w:rFonts w:hint="eastAsia" w:ascii="仿宋" w:hAnsi="仿宋" w:eastAsia="仿宋"/>
          <w:sz w:val="24"/>
          <w:szCs w:val="24"/>
        </w:rPr>
        <w:t xml:space="preserve">  </w:t>
      </w:r>
    </w:p>
    <w:p>
      <w:pPr>
        <w:spacing w:line="500" w:lineRule="exact"/>
        <w:ind w:firstLine="560" w:firstLineChars="200"/>
        <w:rPr>
          <w:rFonts w:ascii="仿宋" w:hAnsi="仿宋" w:eastAsia="仿宋"/>
          <w:sz w:val="28"/>
          <w:szCs w:val="24"/>
        </w:rPr>
      </w:pPr>
    </w:p>
    <w:p>
      <w:pPr>
        <w:shd w:val="clear"/>
      </w:pPr>
    </w:p>
    <w:sectPr>
      <w:pgSz w:w="11906" w:h="16838"/>
      <w:pgMar w:top="1440"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B04EC"/>
    <w:rsid w:val="341F3936"/>
    <w:rsid w:val="3D4B04EC"/>
    <w:rsid w:val="40D23685"/>
    <w:rsid w:val="41EC1205"/>
    <w:rsid w:val="551B5D39"/>
    <w:rsid w:val="6D535020"/>
    <w:rsid w:val="7991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6070</Words>
  <Characters>6839</Characters>
  <Lines>0</Lines>
  <Paragraphs>0</Paragraphs>
  <TotalTime>22</TotalTime>
  <ScaleCrop>false</ScaleCrop>
  <LinksUpToDate>false</LinksUpToDate>
  <CharactersWithSpaces>6849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2018-09-10T07:59:00Z</dcterms:created>
  <dc:creator>lenovo</dc:creator>
  <cp:lastModifiedBy>lenovo</cp:lastModifiedBy>
  <cp:lastPrinted>2018-09-11T06:26:59Z</cp:lastPrinted>
  <dcterms:modified xsi:type="dcterms:W3CDTF">2018-09-11T08:15:45Z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