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ind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Hlk85645547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附件6：</w:t>
      </w:r>
    </w:p>
    <w:p>
      <w:pPr>
        <w:spacing w:line="276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  <w:bookmarkStart w:id="13" w:name="_GoBack"/>
      <w:bookmarkEnd w:id="13"/>
    </w:p>
    <w:p>
      <w:pPr>
        <w:spacing w:line="276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  <w:r>
        <w:rPr>
          <w:rFonts w:hint="eastAsia" w:ascii="方正小标宋简体" w:hAnsi="方正小标宋简体" w:eastAsia="方正小标宋简体" w:cs="方正小标宋简体"/>
          <w:sz w:val="56"/>
          <w:szCs w:val="56"/>
        </w:rPr>
        <w:t>资产盘点</w:t>
      </w:r>
    </w:p>
    <w:p>
      <w:pPr>
        <w:spacing w:line="276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6"/>
          <w:szCs w:val="56"/>
        </w:rPr>
        <w:t>普通用户</w:t>
      </w:r>
      <w:r>
        <w:rPr>
          <w:rFonts w:hint="eastAsia" w:ascii="方正小标宋简体" w:hAnsi="方正小标宋简体" w:eastAsia="方正小标宋简体" w:cs="方正小标宋简体"/>
          <w:sz w:val="56"/>
          <w:szCs w:val="56"/>
          <w:lang w:eastAsia="zh-CN"/>
        </w:rPr>
        <w:t>、</w:t>
      </w:r>
      <w:r>
        <w:rPr>
          <w:rFonts w:hint="eastAsia" w:ascii="方正小标宋简体" w:hAnsi="方正小标宋简体" w:eastAsia="方正小标宋简体" w:cs="方正小标宋简体"/>
          <w:sz w:val="56"/>
          <w:szCs w:val="56"/>
          <w:lang w:val="en-US" w:eastAsia="zh-CN"/>
        </w:rPr>
        <w:t>资产管理员</w:t>
      </w:r>
    </w:p>
    <w:p>
      <w:pPr>
        <w:spacing w:line="276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  <w:r>
        <w:rPr>
          <w:rFonts w:hint="eastAsia" w:ascii="方正小标宋简体" w:hAnsi="方正小标宋简体" w:eastAsia="方正小标宋简体" w:cs="方正小标宋简体"/>
          <w:sz w:val="56"/>
          <w:szCs w:val="56"/>
        </w:rPr>
        <w:t>操作手册</w:t>
      </w:r>
    </w:p>
    <w:p>
      <w:pPr>
        <w:spacing w:line="276" w:lineRule="auto"/>
        <w:ind w:firstLine="0" w:firstLineChars="0"/>
        <w:jc w:val="center"/>
        <w:rPr>
          <w:rFonts w:ascii="华文新魏" w:eastAsia="华文新魏"/>
          <w:sz w:val="96"/>
          <w:szCs w:val="96"/>
        </w:rPr>
      </w:pPr>
    </w:p>
    <w:p>
      <w:pPr>
        <w:spacing w:line="276" w:lineRule="auto"/>
        <w:ind w:right="3840" w:firstLine="0" w:firstLineChars="0"/>
        <w:jc w:val="right"/>
        <w:rPr>
          <w:rFonts w:ascii="华文新魏" w:eastAsia="华文新魏"/>
          <w:sz w:val="96"/>
          <w:szCs w:val="96"/>
        </w:rPr>
      </w:pPr>
    </w:p>
    <w:p>
      <w:pPr>
        <w:spacing w:line="276" w:lineRule="auto"/>
        <w:ind w:right="3840" w:firstLine="0" w:firstLineChars="0"/>
        <w:jc w:val="center"/>
        <w:rPr>
          <w:rFonts w:ascii="华文新魏" w:eastAsia="华文新魏"/>
          <w:sz w:val="96"/>
          <w:szCs w:val="96"/>
        </w:rPr>
      </w:pPr>
      <w:r>
        <w:rPr>
          <w:rFonts w:hint="eastAsia" w:ascii="华文新魏" w:eastAsia="华文新魏"/>
          <w:sz w:val="96"/>
          <w:szCs w:val="96"/>
        </w:rPr>
        <w:t xml:space="preserve"> </w:t>
      </w:r>
      <w:r>
        <w:rPr>
          <w:rFonts w:ascii="华文新魏" w:eastAsia="华文新魏"/>
          <w:sz w:val="96"/>
          <w:szCs w:val="96"/>
        </w:rPr>
        <w:t xml:space="preserve">    </w:t>
      </w:r>
    </w:p>
    <w:p>
      <w:pPr>
        <w:spacing w:line="276" w:lineRule="auto"/>
        <w:ind w:right="3840" w:firstLine="0" w:firstLineChars="0"/>
        <w:jc w:val="right"/>
        <w:rPr>
          <w:rFonts w:hint="default" w:ascii="Times New Roman" w:hAnsi="Times New Roman" w:eastAsia="华文新魏" w:cs="Times New Roman"/>
          <w:sz w:val="96"/>
          <w:szCs w:val="96"/>
        </w:rPr>
      </w:pPr>
    </w:p>
    <w:p>
      <w:pPr>
        <w:spacing w:line="276" w:lineRule="auto"/>
        <w:ind w:firstLine="0" w:firstLineChars="0"/>
        <w:jc w:val="center"/>
        <w:rPr>
          <w:rFonts w:ascii="华文新魏" w:eastAsia="华文新魏"/>
          <w:sz w:val="144"/>
          <w:szCs w:val="144"/>
        </w:rPr>
      </w:pPr>
      <w:r>
        <w:rPr>
          <w:rFonts w:hint="default" w:ascii="Times New Roman" w:hAnsi="Times New Roman" w:eastAsia="楷体" w:cs="Times New Roman"/>
          <w:sz w:val="44"/>
          <w:szCs w:val="44"/>
        </w:rPr>
        <w:t>202</w:t>
      </w:r>
      <w:r>
        <w:rPr>
          <w:rFonts w:hint="default" w:ascii="Times New Roman" w:hAnsi="Times New Roman" w:eastAsia="楷体" w:cs="Times New Roman"/>
          <w:sz w:val="44"/>
          <w:szCs w:val="44"/>
          <w:lang w:val="en-US" w:eastAsia="zh-CN"/>
        </w:rPr>
        <w:t>2</w:t>
      </w:r>
      <w:r>
        <w:rPr>
          <w:rFonts w:hint="default" w:ascii="Times New Roman" w:hAnsi="Times New Roman" w:eastAsia="楷体" w:cs="Times New Roman"/>
          <w:sz w:val="44"/>
          <w:szCs w:val="44"/>
        </w:rPr>
        <w:t>年</w:t>
      </w:r>
      <w:r>
        <w:rPr>
          <w:rFonts w:hint="default" w:ascii="Times New Roman" w:hAnsi="Times New Roman" w:eastAsia="楷体" w:cs="Times New Roman"/>
          <w:sz w:val="44"/>
          <w:szCs w:val="44"/>
          <w:lang w:val="en-US" w:eastAsia="zh-CN"/>
        </w:rPr>
        <w:t>6</w:t>
      </w:r>
      <w:r>
        <w:rPr>
          <w:rFonts w:hint="default" w:ascii="Times New Roman" w:hAnsi="Times New Roman" w:eastAsia="楷体" w:cs="Times New Roman"/>
          <w:sz w:val="44"/>
          <w:szCs w:val="44"/>
        </w:rPr>
        <w:t>月</w:t>
      </w:r>
      <w:bookmarkEnd w:id="0"/>
      <w:r>
        <w:rPr>
          <w:rFonts w:asciiTheme="majorEastAsia" w:hAnsiTheme="majorEastAsia" w:eastAsiaTheme="majorEastAsia"/>
          <w:b/>
          <w:sz w:val="144"/>
          <w:szCs w:val="144"/>
        </w:rPr>
        <w:br w:type="page"/>
      </w:r>
    </w:p>
    <w:sdt>
      <w:sdtPr>
        <w:rPr>
          <w:lang w:val="zh-CN"/>
        </w:rPr>
        <w:id w:val="1423846654"/>
      </w:sdtPr>
      <w:sdtEndPr>
        <w:rPr>
          <w:b/>
          <w:bCs/>
          <w:lang w:val="zh-CN"/>
        </w:rPr>
      </w:sdtEndPr>
      <w:sdtContent>
        <w:p>
          <w:pPr>
            <w:ind w:firstLine="0" w:firstLineChars="0"/>
            <w:jc w:val="center"/>
            <w:rPr>
              <w:rFonts w:ascii="宋体" w:hAnsi="宋体"/>
            </w:rPr>
          </w:pPr>
          <w:r>
            <w:rPr>
              <w:rFonts w:ascii="宋体" w:hAnsi="宋体"/>
            </w:rPr>
            <w:t>目录</w:t>
          </w:r>
        </w:p>
        <w:p>
          <w:pPr>
            <w:ind w:firstLine="0" w:firstLineChars="0"/>
            <w:jc w:val="left"/>
            <w:rPr>
              <w:rFonts w:hint="default" w:ascii="宋体" w:hAnsi="宋体" w:eastAsia="宋体"/>
              <w:b/>
              <w:bCs/>
              <w:lang w:val="en-US" w:eastAsia="zh-CN"/>
            </w:rPr>
          </w:pPr>
          <w:r>
            <w:rPr>
              <w:rFonts w:hint="eastAsia" w:ascii="宋体" w:hAnsi="宋体"/>
              <w:b/>
              <w:bCs/>
              <w:lang w:val="en-US" w:eastAsia="zh-CN"/>
            </w:rPr>
            <w:t>普通用户操作手册</w:t>
          </w:r>
        </w:p>
        <w:p>
          <w:pPr>
            <w:pStyle w:val="15"/>
            <w:tabs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"_Toc86652779" </w:instrText>
          </w:r>
          <w:r>
            <w:fldChar w:fldCharType="separate"/>
          </w:r>
          <w:r>
            <w:rPr>
              <w:rStyle w:val="19"/>
            </w:rPr>
            <w:t>1. 如何登录平台</w:t>
          </w:r>
          <w:r>
            <w:tab/>
          </w:r>
          <w:r>
            <w:fldChar w:fldCharType="begin"/>
          </w:r>
          <w:r>
            <w:instrText xml:space="preserve"> PAGEREF _Toc86652779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"_Toc86652780" </w:instrText>
          </w:r>
          <w:r>
            <w:fldChar w:fldCharType="separate"/>
          </w:r>
          <w:r>
            <w:rPr>
              <w:rStyle w:val="19"/>
            </w:rPr>
            <w:t>2. 资产领用人资产自查</w:t>
          </w:r>
          <w:r>
            <w:tab/>
          </w:r>
          <w:r>
            <w:fldChar w:fldCharType="begin"/>
          </w:r>
          <w:r>
            <w:instrText xml:space="preserve"> PAGEREF _Toc86652780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"_Toc86652781" </w:instrText>
          </w:r>
          <w:r>
            <w:fldChar w:fldCharType="separate"/>
          </w:r>
          <w:r>
            <w:rPr>
              <w:rStyle w:val="19"/>
            </w:rPr>
            <w:t>2.1. 进入自查界面</w:t>
          </w:r>
          <w:r>
            <w:tab/>
          </w:r>
          <w:r>
            <w:fldChar w:fldCharType="begin"/>
          </w:r>
          <w:r>
            <w:instrText xml:space="preserve"> PAGEREF _Toc86652781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"_Toc86652782" </w:instrText>
          </w:r>
          <w:r>
            <w:fldChar w:fldCharType="separate"/>
          </w:r>
          <w:r>
            <w:rPr>
              <w:rStyle w:val="19"/>
            </w:rPr>
            <w:t>2.2. 个人资产自查</w:t>
          </w:r>
          <w:r>
            <w:tab/>
          </w:r>
          <w:r>
            <w:fldChar w:fldCharType="begin"/>
          </w:r>
          <w:r>
            <w:instrText xml:space="preserve"> PAGEREF _Toc86652782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widowControl/>
            <w:ind w:firstLine="0" w:firstLineChars="0"/>
            <w:jc w:val="left"/>
            <w:rPr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  <w:p>
          <w:pPr>
            <w:widowControl/>
            <w:ind w:firstLine="0" w:firstLineChars="0"/>
            <w:jc w:val="left"/>
            <w:rPr>
              <w:b/>
              <w:bCs/>
              <w:lang w:val="zh-CN"/>
            </w:rPr>
          </w:pPr>
          <w:r>
            <w:rPr>
              <w:rFonts w:hint="eastAsia"/>
              <w:b/>
              <w:bCs w:val="0"/>
              <w:lang w:val="en-US" w:eastAsia="zh-CN"/>
            </w:rPr>
            <w:t>资产管理员操作手册</w:t>
          </w:r>
        </w:p>
      </w:sdtContent>
    </w:sdt>
    <w:p>
      <w:pPr>
        <w:pStyle w:val="15"/>
        <w:tabs>
          <w:tab w:val="right" w:leader="dot" w:pos="8296"/>
        </w:tabs>
        <w:ind w:firstLine="480"/>
        <w:rPr>
          <w:rFonts w:asciiTheme="minorHAnsi" w:hAnsiTheme="minorHAnsi" w:eastAsiaTheme="minorEastAsia" w:cstheme="minorBidi"/>
          <w:color w:val="auto"/>
          <w:sz w:val="21"/>
          <w:szCs w:val="22"/>
          <w:u w:val="none"/>
        </w:rPr>
      </w:pPr>
      <w:bookmarkStart w:id="1" w:name="_Toc5251"/>
      <w:bookmarkStart w:id="2" w:name="_Toc86652779"/>
      <w:bookmarkStart w:id="3" w:name="_Hlk85645583"/>
      <w:r>
        <w:rPr>
          <w:color w:val="auto"/>
          <w:u w:val="none"/>
        </w:rPr>
        <w:fldChar w:fldCharType="begin"/>
      </w:r>
      <w:r>
        <w:rPr>
          <w:color w:val="auto"/>
          <w:u w:val="none"/>
        </w:rPr>
        <w:instrText xml:space="preserve"> HYPERLINK \l "_Toc86652697" </w:instrText>
      </w:r>
      <w:r>
        <w:rPr>
          <w:color w:val="auto"/>
          <w:u w:val="none"/>
        </w:rPr>
        <w:fldChar w:fldCharType="separate"/>
      </w:r>
      <w:r>
        <w:rPr>
          <w:rStyle w:val="19"/>
          <w:color w:val="auto"/>
          <w:u w:val="none"/>
        </w:rPr>
        <w:t>1. 如何登录平台</w:t>
      </w:r>
      <w:r>
        <w:rPr>
          <w:color w:val="auto"/>
          <w:u w:val="none"/>
        </w:rPr>
        <w:tab/>
      </w:r>
      <w:r>
        <w:rPr>
          <w:rFonts w:hint="eastAsia"/>
          <w:color w:val="auto"/>
          <w:u w:val="none"/>
          <w:lang w:val="en-US" w:eastAsia="zh-CN"/>
        </w:rPr>
        <w:t>4</w:t>
      </w:r>
      <w:r>
        <w:rPr>
          <w:color w:val="auto"/>
          <w:u w:val="none"/>
        </w:rPr>
        <w:fldChar w:fldCharType="end"/>
      </w:r>
    </w:p>
    <w:p>
      <w:pPr>
        <w:pStyle w:val="15"/>
        <w:tabs>
          <w:tab w:val="right" w:leader="dot" w:pos="8296"/>
        </w:tabs>
        <w:ind w:firstLine="480"/>
        <w:rPr>
          <w:rFonts w:asciiTheme="minorHAnsi" w:hAnsiTheme="minorHAnsi" w:eastAsiaTheme="minorEastAsia" w:cstheme="minorBidi"/>
          <w:color w:val="auto"/>
          <w:sz w:val="21"/>
          <w:szCs w:val="22"/>
          <w:u w:val="none"/>
        </w:rPr>
      </w:pPr>
      <w:r>
        <w:rPr>
          <w:color w:val="auto"/>
          <w:u w:val="none"/>
        </w:rPr>
        <w:fldChar w:fldCharType="begin"/>
      </w:r>
      <w:r>
        <w:rPr>
          <w:color w:val="auto"/>
          <w:u w:val="none"/>
        </w:rPr>
        <w:instrText xml:space="preserve"> HYPERLINK \l "_Toc86652698" </w:instrText>
      </w:r>
      <w:r>
        <w:rPr>
          <w:color w:val="auto"/>
          <w:u w:val="none"/>
        </w:rPr>
        <w:fldChar w:fldCharType="separate"/>
      </w:r>
      <w:r>
        <w:rPr>
          <w:rStyle w:val="19"/>
          <w:color w:val="auto"/>
          <w:u w:val="none"/>
        </w:rPr>
        <w:t>2. 资产盘点</w:t>
      </w:r>
      <w:r>
        <w:rPr>
          <w:color w:val="auto"/>
          <w:u w:val="none"/>
        </w:rPr>
        <w:tab/>
      </w:r>
      <w:r>
        <w:rPr>
          <w:rFonts w:hint="eastAsia"/>
          <w:color w:val="auto"/>
          <w:u w:val="none"/>
          <w:lang w:val="en-US" w:eastAsia="zh-CN"/>
        </w:rPr>
        <w:t>5</w:t>
      </w:r>
      <w:r>
        <w:rPr>
          <w:color w:val="auto"/>
          <w:u w:val="none"/>
        </w:rPr>
        <w:fldChar w:fldCharType="end"/>
      </w:r>
    </w:p>
    <w:p>
      <w:pPr>
        <w:pStyle w:val="16"/>
        <w:tabs>
          <w:tab w:val="right" w:leader="dot" w:pos="8296"/>
        </w:tabs>
        <w:ind w:left="480" w:firstLine="480"/>
        <w:rPr>
          <w:rFonts w:asciiTheme="minorHAnsi" w:hAnsiTheme="minorHAnsi" w:eastAsiaTheme="minorEastAsia" w:cstheme="minorBidi"/>
          <w:color w:val="auto"/>
          <w:sz w:val="21"/>
          <w:szCs w:val="22"/>
          <w:u w:val="none"/>
        </w:rPr>
      </w:pPr>
      <w:r>
        <w:rPr>
          <w:color w:val="auto"/>
          <w:u w:val="none"/>
        </w:rPr>
        <w:fldChar w:fldCharType="begin"/>
      </w:r>
      <w:r>
        <w:rPr>
          <w:color w:val="auto"/>
          <w:u w:val="none"/>
        </w:rPr>
        <w:instrText xml:space="preserve"> HYPERLINK \l "_Toc86652699" </w:instrText>
      </w:r>
      <w:r>
        <w:rPr>
          <w:color w:val="auto"/>
          <w:u w:val="none"/>
        </w:rPr>
        <w:fldChar w:fldCharType="separate"/>
      </w:r>
      <w:r>
        <w:rPr>
          <w:rStyle w:val="19"/>
          <w:color w:val="auto"/>
          <w:u w:val="none"/>
        </w:rPr>
        <w:t>2.1. 资产盘点流程</w:t>
      </w:r>
      <w:r>
        <w:rPr>
          <w:color w:val="auto"/>
          <w:u w:val="none"/>
        </w:rPr>
        <w:tab/>
      </w:r>
      <w:r>
        <w:rPr>
          <w:rFonts w:hint="eastAsia"/>
          <w:color w:val="auto"/>
          <w:u w:val="none"/>
          <w:lang w:val="en-US" w:eastAsia="zh-CN"/>
        </w:rPr>
        <w:t>5</w:t>
      </w:r>
      <w:r>
        <w:rPr>
          <w:color w:val="auto"/>
          <w:u w:val="none"/>
        </w:rPr>
        <w:fldChar w:fldCharType="end"/>
      </w:r>
    </w:p>
    <w:p>
      <w:pPr>
        <w:pStyle w:val="16"/>
        <w:tabs>
          <w:tab w:val="right" w:leader="dot" w:pos="8296"/>
        </w:tabs>
        <w:ind w:left="480" w:firstLine="480"/>
        <w:rPr>
          <w:rFonts w:asciiTheme="minorHAnsi" w:hAnsiTheme="minorHAnsi" w:eastAsiaTheme="minorEastAsia" w:cstheme="minorBidi"/>
          <w:color w:val="auto"/>
          <w:sz w:val="21"/>
          <w:szCs w:val="22"/>
          <w:u w:val="none"/>
        </w:rPr>
      </w:pPr>
      <w:r>
        <w:rPr>
          <w:color w:val="auto"/>
          <w:u w:val="none"/>
        </w:rPr>
        <w:fldChar w:fldCharType="begin"/>
      </w:r>
      <w:r>
        <w:rPr>
          <w:color w:val="auto"/>
          <w:u w:val="none"/>
        </w:rPr>
        <w:instrText xml:space="preserve"> HYPERLINK \l "_Toc86652700" </w:instrText>
      </w:r>
      <w:r>
        <w:rPr>
          <w:color w:val="auto"/>
          <w:u w:val="none"/>
        </w:rPr>
        <w:fldChar w:fldCharType="separate"/>
      </w:r>
      <w:r>
        <w:rPr>
          <w:rStyle w:val="19"/>
          <w:color w:val="auto"/>
          <w:u w:val="none"/>
        </w:rPr>
        <w:t>2.2. 查看盘点任务</w:t>
      </w:r>
      <w:r>
        <w:rPr>
          <w:color w:val="auto"/>
          <w:u w:val="none"/>
        </w:rPr>
        <w:tab/>
      </w:r>
      <w:r>
        <w:rPr>
          <w:rFonts w:hint="eastAsia"/>
          <w:color w:val="auto"/>
          <w:u w:val="none"/>
          <w:lang w:val="en-US" w:eastAsia="zh-CN"/>
        </w:rPr>
        <w:t>6</w:t>
      </w:r>
      <w:r>
        <w:rPr>
          <w:color w:val="auto"/>
          <w:u w:val="none"/>
        </w:rPr>
        <w:fldChar w:fldCharType="end"/>
      </w:r>
    </w:p>
    <w:p>
      <w:pPr>
        <w:pStyle w:val="16"/>
        <w:tabs>
          <w:tab w:val="right" w:leader="dot" w:pos="8296"/>
        </w:tabs>
        <w:ind w:left="480" w:firstLine="480"/>
        <w:rPr>
          <w:rFonts w:asciiTheme="minorHAnsi" w:hAnsiTheme="minorHAnsi" w:eastAsiaTheme="minorEastAsia" w:cstheme="minorBidi"/>
          <w:color w:val="auto"/>
          <w:sz w:val="21"/>
          <w:szCs w:val="22"/>
          <w:u w:val="none"/>
        </w:rPr>
      </w:pPr>
      <w:r>
        <w:rPr>
          <w:color w:val="auto"/>
          <w:u w:val="none"/>
        </w:rPr>
        <w:fldChar w:fldCharType="begin"/>
      </w:r>
      <w:r>
        <w:rPr>
          <w:color w:val="auto"/>
          <w:u w:val="none"/>
        </w:rPr>
        <w:instrText xml:space="preserve"> HYPERLINK \l "_Toc86652701" </w:instrText>
      </w:r>
      <w:r>
        <w:rPr>
          <w:color w:val="auto"/>
          <w:u w:val="none"/>
        </w:rPr>
        <w:fldChar w:fldCharType="separate"/>
      </w:r>
      <w:r>
        <w:rPr>
          <w:rStyle w:val="19"/>
          <w:color w:val="auto"/>
          <w:u w:val="none"/>
        </w:rPr>
        <w:t>2.3. 单位管理员盘点</w:t>
      </w:r>
      <w:r>
        <w:rPr>
          <w:color w:val="auto"/>
          <w:u w:val="none"/>
        </w:rPr>
        <w:tab/>
      </w:r>
      <w:r>
        <w:rPr>
          <w:rFonts w:hint="eastAsia"/>
          <w:color w:val="auto"/>
          <w:u w:val="none"/>
          <w:lang w:val="en-US" w:eastAsia="zh-CN"/>
        </w:rPr>
        <w:t>6</w:t>
      </w:r>
      <w:r>
        <w:rPr>
          <w:color w:val="auto"/>
          <w:u w:val="none"/>
        </w:rPr>
        <w:fldChar w:fldCharType="end"/>
      </w:r>
    </w:p>
    <w:p>
      <w:pPr>
        <w:pStyle w:val="16"/>
        <w:tabs>
          <w:tab w:val="right" w:leader="dot" w:pos="8296"/>
        </w:tabs>
        <w:ind w:left="480" w:firstLine="480"/>
        <w:rPr>
          <w:color w:val="auto"/>
          <w:u w:val="none"/>
        </w:rPr>
      </w:pPr>
      <w:r>
        <w:rPr>
          <w:color w:val="auto"/>
          <w:u w:val="none"/>
        </w:rPr>
        <w:fldChar w:fldCharType="begin"/>
      </w:r>
      <w:r>
        <w:rPr>
          <w:color w:val="auto"/>
          <w:u w:val="none"/>
        </w:rPr>
        <w:instrText xml:space="preserve"> HYPERLINK \l "_Toc86652702" </w:instrText>
      </w:r>
      <w:r>
        <w:rPr>
          <w:color w:val="auto"/>
          <w:u w:val="none"/>
        </w:rPr>
        <w:fldChar w:fldCharType="separate"/>
      </w:r>
      <w:r>
        <w:rPr>
          <w:rStyle w:val="19"/>
          <w:color w:val="auto"/>
          <w:u w:val="none"/>
        </w:rPr>
        <w:t>2.4. 导出盘点单</w:t>
      </w:r>
      <w:r>
        <w:rPr>
          <w:color w:val="auto"/>
          <w:u w:val="none"/>
        </w:rPr>
        <w:tab/>
      </w:r>
      <w:r>
        <w:rPr>
          <w:rFonts w:hint="eastAsia"/>
          <w:color w:val="auto"/>
          <w:u w:val="none"/>
          <w:lang w:val="en-US" w:eastAsia="zh-CN"/>
        </w:rPr>
        <w:t>1</w:t>
      </w:r>
      <w:r>
        <w:rPr>
          <w:color w:val="auto"/>
          <w:u w:val="none"/>
        </w:rPr>
        <w:fldChar w:fldCharType="end"/>
      </w:r>
      <w:r>
        <w:rPr>
          <w:rFonts w:hint="eastAsia"/>
          <w:color w:val="auto"/>
          <w:u w:val="none"/>
          <w:lang w:val="en-US" w:eastAsia="zh-CN"/>
        </w:rPr>
        <w:t>0</w:t>
      </w:r>
    </w:p>
    <w:p>
      <w:pPr>
        <w:pStyle w:val="16"/>
        <w:tabs>
          <w:tab w:val="right" w:leader="dot" w:pos="8296"/>
        </w:tabs>
        <w:ind w:left="480" w:firstLine="480"/>
        <w:rPr>
          <w:rFonts w:hint="eastAsia" w:eastAsia="宋体" w:asciiTheme="minorHAnsi" w:hAnsiTheme="minorHAnsi" w:cstheme="minorBidi"/>
          <w:color w:val="auto"/>
          <w:sz w:val="21"/>
          <w:szCs w:val="22"/>
          <w:u w:val="none"/>
          <w:lang w:val="en-US" w:eastAsia="zh-CN"/>
        </w:rPr>
      </w:pPr>
      <w:r>
        <w:rPr>
          <w:color w:val="auto"/>
          <w:u w:val="none"/>
        </w:rPr>
        <w:fldChar w:fldCharType="begin"/>
      </w:r>
      <w:r>
        <w:rPr>
          <w:color w:val="auto"/>
          <w:u w:val="none"/>
        </w:rPr>
        <w:instrText xml:space="preserve"> HYPERLINK \l "_Toc86652702" </w:instrText>
      </w:r>
      <w:r>
        <w:rPr>
          <w:color w:val="auto"/>
          <w:u w:val="none"/>
        </w:rPr>
        <w:fldChar w:fldCharType="separate"/>
      </w:r>
      <w:r>
        <w:rPr>
          <w:rStyle w:val="19"/>
          <w:color w:val="auto"/>
          <w:u w:val="none"/>
        </w:rPr>
        <w:t>2.</w:t>
      </w:r>
      <w:r>
        <w:rPr>
          <w:rStyle w:val="19"/>
          <w:rFonts w:hint="eastAsia"/>
          <w:color w:val="auto"/>
          <w:u w:val="none"/>
          <w:lang w:val="en-US" w:eastAsia="zh-CN"/>
        </w:rPr>
        <w:t>5</w:t>
      </w:r>
      <w:r>
        <w:rPr>
          <w:rStyle w:val="19"/>
          <w:color w:val="auto"/>
          <w:u w:val="none"/>
        </w:rPr>
        <w:t xml:space="preserve">. </w:t>
      </w:r>
      <w:r>
        <w:rPr>
          <w:rStyle w:val="19"/>
          <w:rFonts w:hint="eastAsia"/>
          <w:color w:val="auto"/>
          <w:u w:val="none"/>
          <w:lang w:val="en-US" w:eastAsia="zh-CN"/>
        </w:rPr>
        <w:t>提交审核</w:t>
      </w:r>
      <w:r>
        <w:rPr>
          <w:color w:val="auto"/>
          <w:u w:val="none"/>
        </w:rPr>
        <w:tab/>
      </w:r>
      <w:r>
        <w:rPr>
          <w:rFonts w:hint="eastAsia"/>
          <w:color w:val="auto"/>
          <w:u w:val="none"/>
          <w:lang w:val="en-US" w:eastAsia="zh-CN"/>
        </w:rPr>
        <w:t>1</w:t>
      </w:r>
      <w:r>
        <w:rPr>
          <w:color w:val="auto"/>
          <w:u w:val="none"/>
        </w:rPr>
        <w:fldChar w:fldCharType="end"/>
      </w:r>
      <w:r>
        <w:rPr>
          <w:rFonts w:hint="eastAsia"/>
          <w:color w:val="auto"/>
          <w:u w:val="none"/>
          <w:lang w:val="en-US" w:eastAsia="zh-CN"/>
        </w:rPr>
        <w:t>0</w:t>
      </w:r>
    </w:p>
    <w:p>
      <w:p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ind w:left="480" w:leftChars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普通用户操作手册</w:t>
      </w:r>
    </w:p>
    <w:p>
      <w:pPr>
        <w:pStyle w:val="2"/>
        <w:numPr>
          <w:ilvl w:val="0"/>
          <w:numId w:val="2"/>
        </w:numPr>
        <w:ind w:left="480"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如何登录</w:t>
      </w:r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平台</w:t>
      </w:r>
      <w:bookmarkEnd w:id="2"/>
    </w:p>
    <w:p>
      <w:pPr>
        <w:ind w:firstLine="480"/>
      </w:pPr>
      <w:r>
        <w:rPr>
          <w:rFonts w:hint="eastAsia"/>
        </w:rPr>
        <w:t>进入陕西师范大学官网，选择右侧菜单中的【</w:t>
      </w:r>
      <w:r>
        <w:rPr>
          <w:rFonts w:hint="eastAsia"/>
          <w:lang w:val="en-US" w:eastAsia="zh-CN"/>
        </w:rPr>
        <w:t>一网通办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如下图所示：</w:t>
      </w:r>
    </w:p>
    <w:p>
      <w:pPr>
        <w:ind w:left="0" w:leftChars="0" w:firstLine="0" w:firstLineChars="0"/>
        <w:jc w:val="both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63500</wp:posOffset>
            </wp:positionV>
            <wp:extent cx="5274310" cy="2656205"/>
            <wp:effectExtent l="0" t="0" r="2540" b="10795"/>
            <wp:wrapTight wrapText="bothSides">
              <wp:wrapPolygon>
                <wp:start x="0" y="0"/>
                <wp:lineTo x="0" y="21378"/>
                <wp:lineTo x="21532" y="21378"/>
                <wp:lineTo x="21532" y="0"/>
                <wp:lineTo x="0" y="0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  <w:r>
        <w:rPr>
          <w:rFonts w:hint="eastAsia"/>
        </w:rPr>
        <w:t>输入账号密码点击【登陆】按钮，进入</w:t>
      </w:r>
      <w:r>
        <w:rPr>
          <w:rFonts w:hint="eastAsia"/>
          <w:lang w:val="en-US" w:eastAsia="zh-CN"/>
        </w:rPr>
        <w:t>一网通办服务门户</w:t>
      </w:r>
      <w:r>
        <w:rPr>
          <w:rFonts w:hint="eastAsia"/>
        </w:rPr>
        <w:t>，如下图所示：</w:t>
      </w:r>
    </w:p>
    <w:p>
      <w:pPr>
        <w:ind w:firstLine="48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37465</wp:posOffset>
            </wp:positionV>
            <wp:extent cx="5258435" cy="2652395"/>
            <wp:effectExtent l="0" t="0" r="18415" b="14605"/>
            <wp:wrapTight wrapText="bothSides">
              <wp:wrapPolygon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ind w:firstLine="0" w:firstLineChars="0"/>
        <w:jc w:val="left"/>
      </w:pPr>
      <w:r>
        <w:br w:type="page"/>
      </w:r>
    </w:p>
    <w:p>
      <w:pPr>
        <w:ind w:firstLine="480"/>
        <w:rPr>
          <w:rFonts w:hint="eastAsia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560070</wp:posOffset>
            </wp:positionV>
            <wp:extent cx="5271770" cy="2675890"/>
            <wp:effectExtent l="0" t="0" r="5080" b="10160"/>
            <wp:wrapTight wrapText="bothSides">
              <wp:wrapPolygon>
                <wp:start x="0" y="0"/>
                <wp:lineTo x="0" y="21374"/>
                <wp:lineTo x="21543" y="21374"/>
                <wp:lineTo x="21543" y="0"/>
                <wp:lineTo x="0" y="0"/>
              </wp:wrapPolygon>
            </wp:wrapTight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进入一网通办服务门户后点击【</w:t>
      </w:r>
      <w:r>
        <w:rPr>
          <w:rFonts w:hint="eastAsia"/>
          <w:lang w:val="en-US" w:eastAsia="zh-CN"/>
        </w:rPr>
        <w:t>业务直通车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的【资产系统】进入【国资全生命周管理平台】，如下图所示：</w:t>
      </w:r>
    </w:p>
    <w:p>
      <w:pPr>
        <w:ind w:firstLine="480"/>
        <w:rPr>
          <w:rFonts w:hint="eastAsia"/>
        </w:rPr>
      </w:pPr>
    </w:p>
    <w:bookmarkEnd w:id="3"/>
    <w:p>
      <w:pPr>
        <w:pStyle w:val="2"/>
        <w:numPr>
          <w:ilvl w:val="0"/>
          <w:numId w:val="2"/>
        </w:numPr>
        <w:ind w:left="48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4" w:name="_Toc86652780"/>
      <w:r>
        <w:rPr>
          <w:rFonts w:hint="eastAsia" w:ascii="仿宋_GB2312" w:hAnsi="仿宋_GB2312" w:eastAsia="仿宋_GB2312" w:cs="仿宋_GB2312"/>
          <w:sz w:val="32"/>
          <w:szCs w:val="32"/>
        </w:rPr>
        <w:t>资产领用人资产自查</w:t>
      </w:r>
      <w:bookmarkEnd w:id="4"/>
    </w:p>
    <w:p>
      <w:pPr>
        <w:pStyle w:val="3"/>
        <w:numPr>
          <w:ilvl w:val="1"/>
          <w:numId w:val="0"/>
        </w:numPr>
        <w:ind w:left="575" w:leftChars="0"/>
      </w:pPr>
      <w:bookmarkStart w:id="5" w:name="_Toc86652781"/>
      <w:r>
        <w:rPr>
          <w:rFonts w:hint="eastAsia"/>
          <w:lang w:val="en-US" w:eastAsia="zh-CN"/>
        </w:rPr>
        <w:t>2.1.</w:t>
      </w:r>
      <w:r>
        <w:rPr>
          <w:rFonts w:hint="eastAsia"/>
        </w:rPr>
        <w:t>进入自查界面</w:t>
      </w:r>
      <w:bookmarkEnd w:id="5"/>
    </w:p>
    <w:p>
      <w:pPr>
        <w:ind w:firstLine="420" w:firstLineChars="0"/>
        <w:jc w:val="left"/>
      </w:pPr>
      <w:r>
        <w:rPr>
          <w:rFonts w:hint="eastAsia"/>
          <w:b/>
          <w:bCs/>
          <w:szCs w:val="24"/>
        </w:rPr>
        <w:t>方法一：</w:t>
      </w:r>
      <w:r>
        <w:rPr>
          <w:rFonts w:hint="eastAsia"/>
          <w:szCs w:val="24"/>
        </w:rPr>
        <w:t>老师登录系统后，依次点击【我领用的资产】→【待自查/盘点】，进入个人盘点页面，如下图所示：</w:t>
      </w:r>
      <w:r>
        <w:t xml:space="preserve"> </w:t>
      </w:r>
    </w:p>
    <w:p>
      <w:pPr>
        <w:ind w:firstLine="0" w:firstLineChars="0"/>
        <w:jc w:val="left"/>
      </w:pPr>
      <w:r>
        <w:drawing>
          <wp:inline distT="0" distB="0" distL="0" distR="0">
            <wp:extent cx="5274310" cy="2447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</w:pPr>
      <w:r>
        <w:rPr>
          <w:rFonts w:hint="eastAsia"/>
          <w:b/>
          <w:bCs/>
          <w:szCs w:val="24"/>
        </w:rPr>
        <w:t>方法二：</w:t>
      </w:r>
      <w:r>
        <w:rPr>
          <w:rFonts w:hint="eastAsia"/>
          <w:szCs w:val="24"/>
        </w:rPr>
        <w:t>老师登录系统后，点击‘待办’，找到盘点任务，点击‘处理’，进入盘点界面，入下图所示：</w:t>
      </w:r>
    </w:p>
    <w:p>
      <w:pPr>
        <w:ind w:firstLine="420" w:firstLineChars="0"/>
        <w:jc w:val="left"/>
        <w:rPr>
          <w:szCs w:val="24"/>
        </w:rPr>
      </w:pPr>
      <w:r>
        <w:drawing>
          <wp:inline distT="0" distB="0" distL="0" distR="0">
            <wp:extent cx="5274310" cy="24053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575" w:leftChars="0"/>
      </w:pPr>
      <w:bookmarkStart w:id="6" w:name="_Toc86652782"/>
      <w:r>
        <w:rPr>
          <w:rFonts w:hint="eastAsia"/>
          <w:lang w:val="en-US" w:eastAsia="zh-CN"/>
        </w:rPr>
        <w:t xml:space="preserve">2.2. </w:t>
      </w:r>
      <w:r>
        <w:rPr>
          <w:rFonts w:hint="eastAsia"/>
        </w:rPr>
        <w:t>个人资产自查</w:t>
      </w:r>
      <w:bookmarkEnd w:id="6"/>
    </w:p>
    <w:p>
      <w:pPr>
        <w:widowControl/>
        <w:ind w:firstLine="480"/>
        <w:rPr>
          <w:rFonts w:ascii="宋体" w:hAnsi="宋体" w:cs="Helvetica"/>
          <w:color w:val="393939"/>
          <w:kern w:val="0"/>
          <w:sz w:val="20"/>
        </w:rPr>
      </w:pPr>
      <w:r>
        <w:rPr>
          <w:rFonts w:hint="eastAsia"/>
        </w:rPr>
        <w:t>勾选自查的资产，并核对实际存放地，选择自查结果，如有必要可填写备注备忘，完成后点击【保存结果】按钮，当【待自查/盘点】处显示数量为0时，自查结束，如下图所示：</w:t>
      </w:r>
    </w:p>
    <w:p>
      <w:pPr>
        <w:ind w:firstLine="480"/>
      </w:pPr>
      <w:r>
        <w:drawing>
          <wp:inline distT="0" distB="0" distL="0" distR="0">
            <wp:extent cx="5274310" cy="2542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35"/>
        <w:spacing w:line="400" w:lineRule="exact"/>
        <w:ind w:left="420" w:firstLine="0"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盘点</w:t>
      </w:r>
      <w:r>
        <w:rPr>
          <w:color w:val="FF0000"/>
          <w:szCs w:val="21"/>
        </w:rPr>
        <w:t>结果</w:t>
      </w:r>
      <w:r>
        <w:rPr>
          <w:rFonts w:hint="eastAsia"/>
          <w:color w:val="FF0000"/>
          <w:szCs w:val="21"/>
        </w:rPr>
        <w:t>：</w:t>
      </w:r>
    </w:p>
    <w:p>
      <w:pPr>
        <w:pStyle w:val="35"/>
        <w:numPr>
          <w:ilvl w:val="0"/>
          <w:numId w:val="3"/>
        </w:numPr>
        <w:spacing w:line="400" w:lineRule="exact"/>
        <w:ind w:firstLineChars="0"/>
        <w:rPr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账实相符</w:t>
      </w:r>
      <w:r>
        <w:rPr>
          <w:rFonts w:hint="eastAsia"/>
          <w:color w:val="FF0000"/>
          <w:szCs w:val="21"/>
        </w:rPr>
        <w:t>-代表资产账目实物吻合，领用人存放地完整;</w:t>
      </w:r>
    </w:p>
    <w:p>
      <w:pPr>
        <w:pStyle w:val="35"/>
        <w:numPr>
          <w:ilvl w:val="0"/>
          <w:numId w:val="3"/>
        </w:numPr>
        <w:spacing w:line="400" w:lineRule="exact"/>
        <w:ind w:firstLineChars="0"/>
        <w:rPr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有账无物</w:t>
      </w:r>
      <w:r>
        <w:rPr>
          <w:rFonts w:hint="eastAsia"/>
          <w:color w:val="FF0000"/>
          <w:szCs w:val="21"/>
        </w:rPr>
        <w:t>-代表当前资产实物无法查到;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pStyle w:val="2"/>
        <w:numPr>
          <w:ilvl w:val="0"/>
          <w:numId w:val="0"/>
        </w:numPr>
        <w:ind w:left="480" w:leftChars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资产管理员操作手册</w:t>
      </w:r>
    </w:p>
    <w:p>
      <w:pPr>
        <w:pStyle w:val="2"/>
        <w:numPr>
          <w:ilvl w:val="0"/>
          <w:numId w:val="0"/>
        </w:numPr>
        <w:ind w:left="480" w:leftChars="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如何登录平台</w:t>
      </w:r>
    </w:p>
    <w:p>
      <w:pPr>
        <w:ind w:firstLine="480"/>
      </w:pPr>
      <w:r>
        <w:rPr>
          <w:rFonts w:hint="eastAsia"/>
        </w:rPr>
        <w:t>进入陕西师范大学官网，选择右侧菜单中的【</w:t>
      </w:r>
      <w:r>
        <w:rPr>
          <w:rFonts w:hint="eastAsia"/>
          <w:lang w:val="en-US" w:eastAsia="zh-CN"/>
        </w:rPr>
        <w:t>一网通办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如下图所示：</w:t>
      </w:r>
    </w:p>
    <w:p>
      <w:pPr>
        <w:ind w:left="0" w:leftChars="0" w:firstLine="0" w:firstLineChars="0"/>
        <w:jc w:val="both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63500</wp:posOffset>
            </wp:positionV>
            <wp:extent cx="5274310" cy="2656205"/>
            <wp:effectExtent l="0" t="0" r="2540" b="10795"/>
            <wp:wrapTight wrapText="bothSides">
              <wp:wrapPolygon>
                <wp:start x="0" y="0"/>
                <wp:lineTo x="0" y="21378"/>
                <wp:lineTo x="21532" y="21378"/>
                <wp:lineTo x="21532" y="0"/>
                <wp:lineTo x="0" y="0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  <w:r>
        <w:rPr>
          <w:rFonts w:hint="eastAsia"/>
        </w:rPr>
        <w:t>输入账号密码点击【登陆】按钮，进入</w:t>
      </w:r>
      <w:r>
        <w:rPr>
          <w:rFonts w:hint="eastAsia"/>
          <w:lang w:val="en-US" w:eastAsia="zh-CN"/>
        </w:rPr>
        <w:t>一网通办服务门户</w:t>
      </w:r>
      <w:r>
        <w:rPr>
          <w:rFonts w:hint="eastAsia"/>
        </w:rPr>
        <w:t>，如下图所示：</w:t>
      </w:r>
    </w:p>
    <w:p>
      <w:pPr>
        <w:ind w:firstLine="480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37465</wp:posOffset>
            </wp:positionV>
            <wp:extent cx="5258435" cy="2652395"/>
            <wp:effectExtent l="0" t="0" r="18415" b="14605"/>
            <wp:wrapTight wrapText="bothSides">
              <wp:wrapPolygon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ind w:firstLine="0" w:firstLineChars="0"/>
        <w:jc w:val="left"/>
      </w:pPr>
      <w:r>
        <w:br w:type="page"/>
      </w:r>
    </w:p>
    <w:p>
      <w:pPr>
        <w:ind w:firstLine="480"/>
        <w:rPr>
          <w:rFonts w:hint="eastAsia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560070</wp:posOffset>
            </wp:positionV>
            <wp:extent cx="5271770" cy="2675890"/>
            <wp:effectExtent l="0" t="0" r="5080" b="10160"/>
            <wp:wrapTight wrapText="bothSides">
              <wp:wrapPolygon>
                <wp:start x="0" y="0"/>
                <wp:lineTo x="0" y="21374"/>
                <wp:lineTo x="21543" y="21374"/>
                <wp:lineTo x="21543" y="0"/>
                <wp:lineTo x="0" y="0"/>
              </wp:wrapPolygon>
            </wp:wrapTight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进入一网通办服务门户后点击【</w:t>
      </w:r>
      <w:r>
        <w:rPr>
          <w:rFonts w:hint="eastAsia"/>
          <w:lang w:val="en-US" w:eastAsia="zh-CN"/>
        </w:rPr>
        <w:t>业务直通车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的【资产系统】进入【国资全生命周管理平台】，如下图所示：</w:t>
      </w:r>
    </w:p>
    <w:p>
      <w:pPr>
        <w:ind w:firstLine="480"/>
        <w:rPr>
          <w:rFonts w:hint="eastAsia"/>
        </w:rPr>
      </w:pPr>
    </w:p>
    <w:p>
      <w:pPr>
        <w:ind w:left="480" w:leftChars="200" w:firstLine="0" w:firstLineChars="0"/>
      </w:pPr>
    </w:p>
    <w:p>
      <w:pPr>
        <w:pStyle w:val="2"/>
        <w:numPr>
          <w:ilvl w:val="0"/>
          <w:numId w:val="0"/>
        </w:numPr>
        <w:ind w:left="480" w:left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7" w:name="_Toc86652698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资产盘点</w:t>
      </w:r>
      <w:bookmarkEnd w:id="7"/>
    </w:p>
    <w:p>
      <w:pPr>
        <w:pStyle w:val="3"/>
        <w:numPr>
          <w:ilvl w:val="1"/>
          <w:numId w:val="0"/>
        </w:numPr>
        <w:ind w:left="575" w:leftChars="0"/>
      </w:pPr>
      <w:bookmarkStart w:id="8" w:name="_Toc86652699"/>
      <w:r>
        <w:rPr>
          <w:rFonts w:hint="eastAsia"/>
          <w:lang w:val="en-US" w:eastAsia="zh-CN"/>
        </w:rPr>
        <w:t xml:space="preserve">2.1. </w:t>
      </w:r>
      <w:r>
        <w:rPr>
          <w:rFonts w:hint="eastAsia"/>
        </w:rPr>
        <w:t>资产盘点流程</w:t>
      </w:r>
      <w:bookmarkEnd w:id="8"/>
    </w:p>
    <w:p>
      <w:pPr>
        <w:ind w:firstLine="480"/>
      </w:pPr>
      <w:r>
        <w:drawing>
          <wp:inline distT="0" distB="0" distL="0" distR="0">
            <wp:extent cx="5274310" cy="29768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575" w:leftChars="0"/>
      </w:pPr>
      <w:bookmarkStart w:id="9" w:name="_Toc86652700"/>
      <w:r>
        <w:rPr>
          <w:rFonts w:hint="eastAsia"/>
          <w:lang w:val="en-US" w:eastAsia="zh-CN"/>
        </w:rPr>
        <w:t>2.2.</w:t>
      </w:r>
      <w:r>
        <w:rPr>
          <w:rFonts w:hint="eastAsia"/>
        </w:rPr>
        <w:t>查看盘点任务</w:t>
      </w:r>
      <w:bookmarkEnd w:id="9"/>
    </w:p>
    <w:p>
      <w:pPr>
        <w:ind w:firstLine="420" w:firstLineChars="0"/>
        <w:jc w:val="left"/>
      </w:pPr>
      <w:r>
        <w:rPr>
          <w:rFonts w:hint="eastAsia"/>
          <w:b/>
          <w:bCs/>
          <w:szCs w:val="24"/>
        </w:rPr>
        <w:t>方法一：</w:t>
      </w:r>
      <w:r>
        <w:rPr>
          <w:szCs w:val="24"/>
        </w:rPr>
        <w:t>单位资产管理员可在</w:t>
      </w:r>
      <w:r>
        <w:rPr>
          <w:rFonts w:hint="eastAsia"/>
          <w:szCs w:val="24"/>
        </w:rPr>
        <w:t>【待办】中查询到自己负责的清查任务，如下图所示：</w:t>
      </w:r>
    </w:p>
    <w:p>
      <w:pPr>
        <w:ind w:firstLine="0" w:firstLineChars="0"/>
        <w:jc w:val="left"/>
      </w:pPr>
      <w:r>
        <w:drawing>
          <wp:inline distT="0" distB="0" distL="0" distR="0">
            <wp:extent cx="5274310" cy="24168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</w:pPr>
      <w:r>
        <w:rPr>
          <w:rFonts w:hint="eastAsia"/>
          <w:b/>
          <w:bCs/>
          <w:szCs w:val="24"/>
        </w:rPr>
        <w:t>方法二：</w:t>
      </w:r>
      <w:r>
        <w:rPr>
          <w:szCs w:val="21"/>
        </w:rPr>
        <w:t>单位资产管理员</w:t>
      </w:r>
      <w:r>
        <w:rPr>
          <w:rFonts w:hint="eastAsia"/>
          <w:szCs w:val="21"/>
        </w:rPr>
        <w:t>点击【单位】-【资产清查盘点】-【资产盘点任务】，如下图所示：</w:t>
      </w:r>
    </w:p>
    <w:p>
      <w:pPr>
        <w:ind w:firstLine="420" w:firstLineChars="0"/>
        <w:jc w:val="left"/>
        <w:rPr>
          <w:rFonts w:ascii="宋体" w:hAnsi="宋体" w:cs="Helvetica"/>
          <w:color w:val="393939"/>
          <w:kern w:val="0"/>
          <w:sz w:val="20"/>
        </w:rPr>
      </w:pPr>
      <w:r>
        <w:drawing>
          <wp:inline distT="0" distB="0" distL="0" distR="0">
            <wp:extent cx="5274310" cy="26720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575" w:leftChars="0"/>
      </w:pPr>
      <w:bookmarkStart w:id="10" w:name="_Toc86652701"/>
      <w:r>
        <w:rPr>
          <w:rFonts w:hint="eastAsia"/>
          <w:lang w:val="en-US" w:eastAsia="zh-CN"/>
        </w:rPr>
        <w:t xml:space="preserve">2.3. </w:t>
      </w:r>
      <w:r>
        <w:rPr>
          <w:rFonts w:hint="eastAsia"/>
        </w:rPr>
        <w:t>单位管理员盘点</w:t>
      </w:r>
      <w:bookmarkEnd w:id="10"/>
    </w:p>
    <w:p>
      <w:pPr>
        <w:ind w:firstLine="482"/>
      </w:pPr>
      <w:r>
        <w:rPr>
          <w:rFonts w:hint="eastAsia"/>
          <w:b/>
          <w:bCs/>
        </w:rPr>
        <w:t>第一步：</w:t>
      </w:r>
      <w:r>
        <w:rPr>
          <w:rFonts w:hint="eastAsia"/>
        </w:rPr>
        <w:t>点击盘点任务的【处理】按钮，进入盘点详情页面，如图所示：</w:t>
      </w:r>
    </w:p>
    <w:p>
      <w:pPr>
        <w:ind w:firstLine="480"/>
        <w:rPr>
          <w:b/>
          <w:bCs/>
        </w:rPr>
      </w:pPr>
      <w:r>
        <w:drawing>
          <wp:inline distT="0" distB="0" distL="0" distR="0">
            <wp:extent cx="5274310" cy="24714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第二步：</w:t>
      </w:r>
      <w:r>
        <w:rPr>
          <w:rFonts w:hint="eastAsia"/>
        </w:rPr>
        <w:t>点击详情页面【去盘点】按钮，进入盘点处理页面，如图所示：</w:t>
      </w:r>
    </w:p>
    <w:p>
      <w:pPr>
        <w:ind w:firstLine="480"/>
      </w:pPr>
      <w:r>
        <w:drawing>
          <wp:inline distT="0" distB="0" distL="0" distR="0">
            <wp:extent cx="5274310" cy="24396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说明1：该页面为盘点处理页面，单位管理员可协助普通用户进行盘点，及填写盘点结果并保存后，该资产盘点完成，普通用户待盘点任务结束，不需再盘点.</w:t>
      </w:r>
    </w:p>
    <w:p>
      <w:pPr>
        <w:ind w:firstLine="480"/>
      </w:pPr>
      <w:r>
        <w:rPr>
          <w:rFonts w:hint="eastAsia"/>
        </w:rPr>
        <w:t>说明2：单位管理员盘点支持导入盘点结果，即导出待盘点的资产表格，根据填写要求填写完成盘点信息后，再导入进入系统即可完成这部分资产的盘点，操作步骤如下：</w:t>
      </w:r>
    </w:p>
    <w:p>
      <w:pPr>
        <w:ind w:firstLine="482"/>
      </w:pPr>
      <w:r>
        <w:rPr>
          <w:rFonts w:hint="eastAsia"/>
          <w:b/>
          <w:bCs/>
        </w:rPr>
        <w:t>第一步：</w:t>
      </w:r>
      <w:r>
        <w:rPr>
          <w:rFonts w:hint="eastAsia"/>
        </w:rPr>
        <w:t>进入导入盘点结果，如下图所示：</w:t>
      </w:r>
    </w:p>
    <w:p>
      <w:pPr>
        <w:ind w:firstLine="480"/>
      </w:pPr>
      <w:r>
        <w:drawing>
          <wp:inline distT="0" distB="0" distL="0" distR="0">
            <wp:extent cx="5274310" cy="24638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第二步：</w:t>
      </w:r>
      <w:r>
        <w:rPr>
          <w:rFonts w:hint="eastAsia"/>
        </w:rPr>
        <w:t>导出清单线下盘点，如下图所示：</w:t>
      </w:r>
    </w:p>
    <w:p>
      <w:pPr>
        <w:ind w:firstLine="480"/>
      </w:pPr>
      <w:r>
        <w:drawing>
          <wp:inline distT="0" distB="0" distL="0" distR="0">
            <wp:extent cx="5274310" cy="25939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第三步：</w:t>
      </w:r>
      <w:r>
        <w:rPr>
          <w:rFonts w:hint="eastAsia"/>
        </w:rPr>
        <w:t>填写清单线下盘点清单，如下图所示：</w:t>
      </w:r>
    </w:p>
    <w:p>
      <w:pPr>
        <w:ind w:firstLine="480"/>
      </w:pPr>
      <w:r>
        <w:drawing>
          <wp:inline distT="0" distB="0" distL="0" distR="0">
            <wp:extent cx="5274310" cy="21177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第四步：</w:t>
      </w:r>
      <w:r>
        <w:rPr>
          <w:rFonts w:hint="eastAsia"/>
        </w:rPr>
        <w:t>进入导入线下盘点结果页面，如下图所示：</w:t>
      </w:r>
    </w:p>
    <w:p>
      <w:pPr>
        <w:ind w:firstLine="480"/>
      </w:pPr>
      <w:r>
        <w:drawing>
          <wp:inline distT="0" distB="0" distL="0" distR="0">
            <wp:extent cx="5274310" cy="24295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第四步：</w:t>
      </w:r>
      <w:r>
        <w:rPr>
          <w:rFonts w:hint="eastAsia"/>
        </w:rPr>
        <w:t>导入线下盘点结果，如下图所示：</w:t>
      </w:r>
    </w:p>
    <w:p>
      <w:pPr>
        <w:ind w:firstLine="480"/>
      </w:pPr>
      <w:r>
        <w:drawing>
          <wp:inline distT="0" distB="0" distL="0" distR="0">
            <wp:extent cx="5274310" cy="23717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说明</w:t>
      </w:r>
      <w:r>
        <w:t>3</w:t>
      </w:r>
      <w:r>
        <w:rPr>
          <w:rFonts w:hint="eastAsia"/>
        </w:rPr>
        <w:t>：本次盘点过程中，有盘盈资产，可通过【录入盘盈】功能将盘盈资产进行录入，操作步骤如下：</w:t>
      </w:r>
    </w:p>
    <w:p>
      <w:pPr>
        <w:ind w:firstLine="482"/>
      </w:pPr>
      <w:r>
        <w:rPr>
          <w:rFonts w:hint="eastAsia"/>
          <w:b/>
          <w:bCs/>
        </w:rPr>
        <w:t>第一步：</w:t>
      </w:r>
      <w:r>
        <w:rPr>
          <w:rFonts w:hint="eastAsia"/>
        </w:rPr>
        <w:t>点击【录入盘盈】，进入录入盘盈资产界面，如下图所示：</w:t>
      </w:r>
    </w:p>
    <w:p>
      <w:pPr>
        <w:ind w:firstLine="480"/>
      </w:pPr>
      <w:r>
        <w:drawing>
          <wp:inline distT="0" distB="0" distL="0" distR="0">
            <wp:extent cx="5274310" cy="23939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第二步：</w:t>
      </w:r>
      <w:r>
        <w:rPr>
          <w:rFonts w:hint="eastAsia"/>
        </w:rPr>
        <w:t>录入盘盈资产信息后，点击保存，如下图所示：</w:t>
      </w:r>
    </w:p>
    <w:p>
      <w:pPr>
        <w:ind w:firstLine="480"/>
      </w:pPr>
    </w:p>
    <w:p>
      <w:pPr>
        <w:pStyle w:val="3"/>
        <w:numPr>
          <w:ilvl w:val="1"/>
          <w:numId w:val="0"/>
        </w:numPr>
        <w:ind w:left="575" w:leftChars="0"/>
      </w:pPr>
      <w:bookmarkStart w:id="11" w:name="_Toc86652702"/>
      <w:r>
        <w:rPr>
          <w:rFonts w:hint="eastAsia"/>
          <w:lang w:val="en-US" w:eastAsia="zh-CN"/>
        </w:rPr>
        <w:t xml:space="preserve">2.4. </w:t>
      </w:r>
      <w:r>
        <w:rPr>
          <w:rFonts w:hint="eastAsia"/>
        </w:rPr>
        <w:t>导出盘点单</w:t>
      </w:r>
      <w:bookmarkEnd w:id="11"/>
    </w:p>
    <w:p>
      <w:pPr>
        <w:spacing w:line="400" w:lineRule="exact"/>
        <w:ind w:firstLine="482"/>
        <w:rPr>
          <w:szCs w:val="21"/>
        </w:rPr>
      </w:pPr>
      <w:r>
        <w:rPr>
          <w:b/>
          <w:szCs w:val="21"/>
        </w:rPr>
        <w:t>第一步</w:t>
      </w:r>
      <w:r>
        <w:rPr>
          <w:rFonts w:hint="eastAsia"/>
          <w:b/>
          <w:szCs w:val="21"/>
        </w:rPr>
        <w:t>：</w:t>
      </w:r>
      <w:r>
        <w:rPr>
          <w:szCs w:val="21"/>
        </w:rPr>
        <w:t>单位资产管理员</w:t>
      </w:r>
      <w:r>
        <w:rPr>
          <w:rFonts w:hint="eastAsia"/>
          <w:szCs w:val="21"/>
        </w:rPr>
        <w:t>点击【单位】-【资产清查】-【盘点任务】，在单位盘点完成后，点击【批量打印盘点表】如下图所示：</w:t>
      </w:r>
    </w:p>
    <w:p>
      <w:pPr>
        <w:ind w:firstLine="480"/>
        <w:rPr>
          <w:szCs w:val="21"/>
        </w:rPr>
      </w:pPr>
      <w:r>
        <w:drawing>
          <wp:inline distT="0" distB="0" distL="0" distR="0">
            <wp:extent cx="5274310" cy="17062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2"/>
        <w:rPr>
          <w:szCs w:val="21"/>
        </w:rPr>
      </w:pPr>
      <w:r>
        <w:rPr>
          <w:rFonts w:hint="eastAsia"/>
          <w:b/>
          <w:szCs w:val="21"/>
        </w:rPr>
        <w:t>第二步：</w:t>
      </w:r>
      <w:r>
        <w:rPr>
          <w:rFonts w:hint="eastAsia"/>
          <w:szCs w:val="21"/>
        </w:rPr>
        <w:t>在导出的excel文件中会体现“清查结果”，如下图所示：</w:t>
      </w:r>
    </w:p>
    <w:p>
      <w:pPr>
        <w:ind w:firstLine="480"/>
        <w:rPr>
          <w:szCs w:val="21"/>
        </w:rPr>
      </w:pPr>
      <w:r>
        <w:rPr>
          <w:szCs w:val="21"/>
        </w:rPr>
        <w:drawing>
          <wp:inline distT="0" distB="0" distL="0" distR="0">
            <wp:extent cx="5760720" cy="2134870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zCs w:val="21"/>
        </w:rPr>
      </w:pPr>
      <w:r>
        <w:rPr>
          <w:rFonts w:hint="eastAsia"/>
          <w:szCs w:val="21"/>
        </w:rPr>
        <w:t>在盘点表中并附带填写说明，如下图所示：</w:t>
      </w:r>
    </w:p>
    <w:p>
      <w:pPr>
        <w:ind w:firstLine="480"/>
        <w:rPr>
          <w:szCs w:val="21"/>
        </w:rPr>
      </w:pPr>
      <w:r>
        <w:drawing>
          <wp:inline distT="0" distB="0" distL="0" distR="0">
            <wp:extent cx="5760720" cy="6705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575" w:leftChars="0"/>
      </w:pPr>
      <w:bookmarkStart w:id="12" w:name="_Toc86652703"/>
      <w:r>
        <w:rPr>
          <w:rFonts w:hint="eastAsia"/>
          <w:lang w:val="en-US" w:eastAsia="zh-CN"/>
        </w:rPr>
        <w:t xml:space="preserve">2.5. </w:t>
      </w:r>
      <w:r>
        <w:rPr>
          <w:rFonts w:hint="eastAsia"/>
        </w:rPr>
        <w:t>提交审核</w:t>
      </w:r>
      <w:bookmarkEnd w:id="12"/>
    </w:p>
    <w:p>
      <w:pPr>
        <w:ind w:firstLine="480"/>
      </w:pPr>
      <w:r>
        <w:rPr>
          <w:rFonts w:hint="eastAsia"/>
        </w:rPr>
        <w:t>当盘点进度达到1</w:t>
      </w:r>
      <w:r>
        <w:t>00%</w:t>
      </w:r>
      <w:r>
        <w:rPr>
          <w:rFonts w:hint="eastAsia"/>
        </w:rPr>
        <w:t>后，单位管理员可将本单位的盘点任务提交至资信处审核，操作如下：</w:t>
      </w:r>
    </w:p>
    <w:p>
      <w:pPr>
        <w:spacing w:line="400" w:lineRule="exact"/>
        <w:ind w:firstLine="482"/>
        <w:rPr>
          <w:szCs w:val="21"/>
        </w:rPr>
      </w:pPr>
      <w:r>
        <w:rPr>
          <w:rFonts w:hint="eastAsia"/>
          <w:b/>
          <w:szCs w:val="21"/>
        </w:rPr>
        <w:t>第一步：</w:t>
      </w:r>
      <w:r>
        <w:rPr>
          <w:rFonts w:hint="eastAsia"/>
          <w:szCs w:val="21"/>
        </w:rPr>
        <w:t>点击任务处的【处理】按钮，如下图所示：</w:t>
      </w:r>
    </w:p>
    <w:p>
      <w:pPr>
        <w:ind w:firstLine="480"/>
      </w:pPr>
      <w:r>
        <w:drawing>
          <wp:inline distT="0" distB="0" distL="0" distR="0">
            <wp:extent cx="5274310" cy="15894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2"/>
        <w:rPr>
          <w:szCs w:val="21"/>
        </w:rPr>
      </w:pPr>
      <w:r>
        <w:rPr>
          <w:rFonts w:hint="eastAsia"/>
          <w:b/>
          <w:szCs w:val="21"/>
        </w:rPr>
        <w:t>第二步：</w:t>
      </w:r>
      <w:r>
        <w:rPr>
          <w:rFonts w:hint="eastAsia"/>
          <w:szCs w:val="21"/>
        </w:rPr>
        <w:t>点击【提交审核】按钮即可，如下图所示：</w:t>
      </w:r>
    </w:p>
    <w:p>
      <w:pPr>
        <w:ind w:firstLine="480"/>
      </w:pPr>
      <w:r>
        <w:drawing>
          <wp:inline distT="0" distB="0" distL="0" distR="0">
            <wp:extent cx="5274310" cy="26041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9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43180</wp:posOffset>
              </wp:positionH>
              <wp:positionV relativeFrom="paragraph">
                <wp:posOffset>-19050</wp:posOffset>
              </wp:positionV>
              <wp:extent cx="5197475" cy="1270"/>
              <wp:effectExtent l="0" t="0" r="0" b="0"/>
              <wp:wrapNone/>
              <wp:docPr id="2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97475" cy="12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7" o:spid="_x0000_s1026" o:spt="20" style="position:absolute;left:0pt;margin-left:3.4pt;margin-top:-1.5pt;height:0.1pt;width:409.25pt;mso-position-horizontal-relative:margin;z-index:251660288;mso-width-relative:page;mso-height-relative:page;" filled="f" stroked="t" coordsize="21600,21600" o:gfxdata="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UA&#10;Yb7WAAAABwEAAA8AAAAAAAAAAQAgAAAAIgAAAGRycy9kb3ducmV2LnhtbFBLAQIUABQAAAAIAIdO&#10;4kA+CvLDswEAAFQDAAAOAAAAAAAAAAEAIAAAACUBAABkcnMvZTJvRG9jLnhtbFBLBQYAAAAABgAG&#10;AFkBAABK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43180</wp:posOffset>
              </wp:positionH>
              <wp:positionV relativeFrom="paragraph">
                <wp:posOffset>-19050</wp:posOffset>
              </wp:positionV>
              <wp:extent cx="5197475" cy="1270"/>
              <wp:effectExtent l="0" t="0" r="0" b="0"/>
              <wp:wrapNone/>
              <wp:docPr id="9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97475" cy="12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7" o:spid="_x0000_s1026" o:spt="20" style="position:absolute;left:0pt;margin-left:3.4pt;margin-top:-1.5pt;height:0.1pt;width:409.25pt;mso-position-horizontal-relative:margin;z-index:251662336;mso-width-relative:page;mso-height-relative:page;" filled="f" stroked="t" coordsize="21600,21600" o:gfxdata="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UA&#10;Yb7WAAAABwEAAA8AAAAAAAAAAQAgAAAAIgAAAGRycy9kb3ducmV2LnhtbFBLAQIUABQAAAAIAIdO&#10;4kD7sKFoswEAAFQDAAAOAAAAAAAAAAEAIAAAACUBAABkcnMvZTJvRG9jLnhtbFBLBQYAAAAABgAG&#10;AFkBAABK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140A1C"/>
    <w:multiLevelType w:val="singleLevel"/>
    <w:tmpl w:val="FF140A1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1547153"/>
    <w:multiLevelType w:val="multilevel"/>
    <w:tmpl w:val="41547153"/>
    <w:lvl w:ilvl="0" w:tentative="0">
      <w:start w:val="1"/>
      <w:numFmt w:val="lowerLetter"/>
      <w:lvlText w:val="%1)"/>
      <w:lvlJc w:val="left"/>
      <w:pPr>
        <w:ind w:left="846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CF94CEA"/>
    <w:multiLevelType w:val="multilevel"/>
    <w:tmpl w:val="6CF94CEA"/>
    <w:lvl w:ilvl="0" w:tentative="0">
      <w:start w:val="1"/>
      <w:numFmt w:val="decimal"/>
      <w:pStyle w:val="2"/>
      <w:suff w:val="space"/>
      <w:lvlText w:val="%1."/>
      <w:lvlJc w:val="left"/>
      <w:pPr>
        <w:ind w:left="480" w:hanging="432"/>
      </w:pPr>
      <w:rPr>
        <w:rFonts w:hint="default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VjMDVhZDFmYzMzY2ViYzI5ZjBkZjYzYmM0MDM0ZGYifQ=="/>
  </w:docVars>
  <w:rsids>
    <w:rsidRoot w:val="00CE47E1"/>
    <w:rsid w:val="00014CA6"/>
    <w:rsid w:val="0001548E"/>
    <w:rsid w:val="00033471"/>
    <w:rsid w:val="00055D59"/>
    <w:rsid w:val="0007151A"/>
    <w:rsid w:val="000735A1"/>
    <w:rsid w:val="00087D73"/>
    <w:rsid w:val="000930EE"/>
    <w:rsid w:val="000B0C26"/>
    <w:rsid w:val="000C1D55"/>
    <w:rsid w:val="000C64E1"/>
    <w:rsid w:val="000C6F29"/>
    <w:rsid w:val="000D635E"/>
    <w:rsid w:val="000E61F2"/>
    <w:rsid w:val="000F450C"/>
    <w:rsid w:val="000F7860"/>
    <w:rsid w:val="00102F46"/>
    <w:rsid w:val="001071BD"/>
    <w:rsid w:val="00123589"/>
    <w:rsid w:val="0013389D"/>
    <w:rsid w:val="001515A7"/>
    <w:rsid w:val="00167401"/>
    <w:rsid w:val="002203BB"/>
    <w:rsid w:val="00232153"/>
    <w:rsid w:val="00233E03"/>
    <w:rsid w:val="00235092"/>
    <w:rsid w:val="002404AA"/>
    <w:rsid w:val="00287990"/>
    <w:rsid w:val="002A37C4"/>
    <w:rsid w:val="002A3FD6"/>
    <w:rsid w:val="00315B39"/>
    <w:rsid w:val="00316802"/>
    <w:rsid w:val="003227E3"/>
    <w:rsid w:val="00341E4E"/>
    <w:rsid w:val="003434BC"/>
    <w:rsid w:val="00366F2E"/>
    <w:rsid w:val="003B50D4"/>
    <w:rsid w:val="003D0AA9"/>
    <w:rsid w:val="003D3EE1"/>
    <w:rsid w:val="003F4384"/>
    <w:rsid w:val="00412412"/>
    <w:rsid w:val="00437D8D"/>
    <w:rsid w:val="00466B4D"/>
    <w:rsid w:val="00475E26"/>
    <w:rsid w:val="00483EE2"/>
    <w:rsid w:val="00492103"/>
    <w:rsid w:val="004A0B20"/>
    <w:rsid w:val="004A4F61"/>
    <w:rsid w:val="004C1E81"/>
    <w:rsid w:val="004E17B4"/>
    <w:rsid w:val="004E588E"/>
    <w:rsid w:val="004F2047"/>
    <w:rsid w:val="00503A95"/>
    <w:rsid w:val="00530276"/>
    <w:rsid w:val="00546A21"/>
    <w:rsid w:val="00560E8C"/>
    <w:rsid w:val="00566F33"/>
    <w:rsid w:val="00571BA6"/>
    <w:rsid w:val="00581CEE"/>
    <w:rsid w:val="005867A2"/>
    <w:rsid w:val="00595749"/>
    <w:rsid w:val="005B438E"/>
    <w:rsid w:val="005D198A"/>
    <w:rsid w:val="005D5448"/>
    <w:rsid w:val="005F162B"/>
    <w:rsid w:val="00600D73"/>
    <w:rsid w:val="00605947"/>
    <w:rsid w:val="006066FC"/>
    <w:rsid w:val="00617BB4"/>
    <w:rsid w:val="00625FCF"/>
    <w:rsid w:val="00642714"/>
    <w:rsid w:val="00664611"/>
    <w:rsid w:val="00680C7A"/>
    <w:rsid w:val="00690343"/>
    <w:rsid w:val="00697FDB"/>
    <w:rsid w:val="006D6E60"/>
    <w:rsid w:val="006F18B7"/>
    <w:rsid w:val="00725B48"/>
    <w:rsid w:val="00785662"/>
    <w:rsid w:val="00797132"/>
    <w:rsid w:val="007B1BE0"/>
    <w:rsid w:val="007E25CA"/>
    <w:rsid w:val="007F0CAB"/>
    <w:rsid w:val="00835730"/>
    <w:rsid w:val="0085088A"/>
    <w:rsid w:val="008759AD"/>
    <w:rsid w:val="0088004D"/>
    <w:rsid w:val="0088079A"/>
    <w:rsid w:val="0089386C"/>
    <w:rsid w:val="008C5920"/>
    <w:rsid w:val="008D68CC"/>
    <w:rsid w:val="00925DF0"/>
    <w:rsid w:val="00936EFD"/>
    <w:rsid w:val="00966707"/>
    <w:rsid w:val="00987282"/>
    <w:rsid w:val="009973A8"/>
    <w:rsid w:val="009A1E51"/>
    <w:rsid w:val="009B5F00"/>
    <w:rsid w:val="009E22FD"/>
    <w:rsid w:val="009E364D"/>
    <w:rsid w:val="00A1704D"/>
    <w:rsid w:val="00A2110E"/>
    <w:rsid w:val="00A5350B"/>
    <w:rsid w:val="00A60DF7"/>
    <w:rsid w:val="00A74935"/>
    <w:rsid w:val="00A85B83"/>
    <w:rsid w:val="00A90886"/>
    <w:rsid w:val="00AE0B71"/>
    <w:rsid w:val="00B002B3"/>
    <w:rsid w:val="00B14260"/>
    <w:rsid w:val="00B26396"/>
    <w:rsid w:val="00B636AD"/>
    <w:rsid w:val="00B91024"/>
    <w:rsid w:val="00BB34FF"/>
    <w:rsid w:val="00BB3E9E"/>
    <w:rsid w:val="00BC0A78"/>
    <w:rsid w:val="00BE30A1"/>
    <w:rsid w:val="00BF5AA1"/>
    <w:rsid w:val="00C02C70"/>
    <w:rsid w:val="00C137E5"/>
    <w:rsid w:val="00C22441"/>
    <w:rsid w:val="00C25426"/>
    <w:rsid w:val="00C363DF"/>
    <w:rsid w:val="00C52588"/>
    <w:rsid w:val="00C55664"/>
    <w:rsid w:val="00C5689B"/>
    <w:rsid w:val="00C63AD7"/>
    <w:rsid w:val="00C735C7"/>
    <w:rsid w:val="00CB1204"/>
    <w:rsid w:val="00CD0E5C"/>
    <w:rsid w:val="00CD1F43"/>
    <w:rsid w:val="00CD4548"/>
    <w:rsid w:val="00CE47E1"/>
    <w:rsid w:val="00CF4289"/>
    <w:rsid w:val="00D459E6"/>
    <w:rsid w:val="00D56C49"/>
    <w:rsid w:val="00D669FC"/>
    <w:rsid w:val="00D811FC"/>
    <w:rsid w:val="00D87950"/>
    <w:rsid w:val="00D90334"/>
    <w:rsid w:val="00DA347E"/>
    <w:rsid w:val="00DB11CE"/>
    <w:rsid w:val="00DC5E6E"/>
    <w:rsid w:val="00E0210D"/>
    <w:rsid w:val="00E02BC8"/>
    <w:rsid w:val="00E04FC5"/>
    <w:rsid w:val="00E22798"/>
    <w:rsid w:val="00E86088"/>
    <w:rsid w:val="00EA1600"/>
    <w:rsid w:val="00EB05A6"/>
    <w:rsid w:val="00EB15C7"/>
    <w:rsid w:val="00EB1C68"/>
    <w:rsid w:val="00EC1DC7"/>
    <w:rsid w:val="00ED1845"/>
    <w:rsid w:val="00ED189A"/>
    <w:rsid w:val="00EE1213"/>
    <w:rsid w:val="00F11F27"/>
    <w:rsid w:val="00F15403"/>
    <w:rsid w:val="00F2185B"/>
    <w:rsid w:val="00F21CCA"/>
    <w:rsid w:val="00F36F23"/>
    <w:rsid w:val="00F501CF"/>
    <w:rsid w:val="00F80B6F"/>
    <w:rsid w:val="00F815D4"/>
    <w:rsid w:val="00F8703E"/>
    <w:rsid w:val="00F908EF"/>
    <w:rsid w:val="00F95A8B"/>
    <w:rsid w:val="00FA4392"/>
    <w:rsid w:val="00FA4767"/>
    <w:rsid w:val="00FB490D"/>
    <w:rsid w:val="00FF67DD"/>
    <w:rsid w:val="01751687"/>
    <w:rsid w:val="04A4158A"/>
    <w:rsid w:val="04E27DF9"/>
    <w:rsid w:val="05AA7234"/>
    <w:rsid w:val="0665433B"/>
    <w:rsid w:val="08920F11"/>
    <w:rsid w:val="0A196B0E"/>
    <w:rsid w:val="0EBF18AF"/>
    <w:rsid w:val="0EDC1031"/>
    <w:rsid w:val="0F617B1C"/>
    <w:rsid w:val="107B04BE"/>
    <w:rsid w:val="1185112F"/>
    <w:rsid w:val="164E036D"/>
    <w:rsid w:val="1696445A"/>
    <w:rsid w:val="16C82619"/>
    <w:rsid w:val="16F4367E"/>
    <w:rsid w:val="1B501B4E"/>
    <w:rsid w:val="1BAA5A80"/>
    <w:rsid w:val="1CF22701"/>
    <w:rsid w:val="1F9320D5"/>
    <w:rsid w:val="214A3E2C"/>
    <w:rsid w:val="22276BDD"/>
    <w:rsid w:val="223244C7"/>
    <w:rsid w:val="22BC7FA6"/>
    <w:rsid w:val="23960156"/>
    <w:rsid w:val="27511BCB"/>
    <w:rsid w:val="2B8E424C"/>
    <w:rsid w:val="2DBF6E48"/>
    <w:rsid w:val="2F2C6F34"/>
    <w:rsid w:val="30C43CFA"/>
    <w:rsid w:val="332F7747"/>
    <w:rsid w:val="33C52DAD"/>
    <w:rsid w:val="35E5739E"/>
    <w:rsid w:val="36BC4007"/>
    <w:rsid w:val="373B79AD"/>
    <w:rsid w:val="37B07132"/>
    <w:rsid w:val="39677025"/>
    <w:rsid w:val="3DA7639A"/>
    <w:rsid w:val="3E9926CE"/>
    <w:rsid w:val="4650076A"/>
    <w:rsid w:val="478C1055"/>
    <w:rsid w:val="4B9F509C"/>
    <w:rsid w:val="4CDF1852"/>
    <w:rsid w:val="4CDF3DF7"/>
    <w:rsid w:val="51FF2A04"/>
    <w:rsid w:val="534E6DE4"/>
    <w:rsid w:val="55D46537"/>
    <w:rsid w:val="59995EAE"/>
    <w:rsid w:val="59A30192"/>
    <w:rsid w:val="5AEA4142"/>
    <w:rsid w:val="5B2110AA"/>
    <w:rsid w:val="5BA96617"/>
    <w:rsid w:val="5D534574"/>
    <w:rsid w:val="63E423D7"/>
    <w:rsid w:val="64DA797B"/>
    <w:rsid w:val="65000281"/>
    <w:rsid w:val="674B3F3B"/>
    <w:rsid w:val="68D343A3"/>
    <w:rsid w:val="6AB63CF2"/>
    <w:rsid w:val="6C0E79A8"/>
    <w:rsid w:val="6D447BD7"/>
    <w:rsid w:val="6DA96BB5"/>
    <w:rsid w:val="6EF75ED8"/>
    <w:rsid w:val="71C54887"/>
    <w:rsid w:val="73B0609B"/>
    <w:rsid w:val="74740358"/>
    <w:rsid w:val="754C6E0B"/>
    <w:rsid w:val="75C014A9"/>
    <w:rsid w:val="76DB11C7"/>
    <w:rsid w:val="774F2E2D"/>
    <w:rsid w:val="793A3532"/>
    <w:rsid w:val="7A157A68"/>
    <w:rsid w:val="7AC82136"/>
    <w:rsid w:val="7B2003D8"/>
    <w:rsid w:val="7BE910D2"/>
    <w:rsid w:val="7C3C576B"/>
    <w:rsid w:val="7D5D4A34"/>
    <w:rsid w:val="7E350DC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widowControl/>
      <w:numPr>
        <w:ilvl w:val="0"/>
        <w:numId w:val="1"/>
      </w:numPr>
      <w:tabs>
        <w:tab w:val="left" w:pos="1141"/>
      </w:tabs>
      <w:spacing w:before="340" w:after="330" w:line="578" w:lineRule="auto"/>
      <w:ind w:firstLine="0" w:firstLineChars="0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qFormat/>
    <w:uiPriority w:val="9"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ind w:firstLine="0" w:firstLineChars="0"/>
      <w:jc w:val="left"/>
      <w:outlineLvl w:val="1"/>
    </w:pPr>
    <w:rPr>
      <w:rFonts w:ascii="Cambria" w:hAnsi="Cambria" w:eastAsia="黑体"/>
      <w:b/>
      <w:bCs/>
      <w:sz w:val="30"/>
      <w:szCs w:val="32"/>
    </w:rPr>
  </w:style>
  <w:style w:type="paragraph" w:styleId="4">
    <w:name w:val="heading 3"/>
    <w:basedOn w:val="1"/>
    <w:next w:val="1"/>
    <w:link w:val="24"/>
    <w:qFormat/>
    <w:uiPriority w:val="0"/>
    <w:pPr>
      <w:keepNext/>
      <w:keepLines/>
      <w:widowControl/>
      <w:numPr>
        <w:ilvl w:val="2"/>
        <w:numId w:val="1"/>
      </w:numPr>
      <w:tabs>
        <w:tab w:val="left" w:pos="720"/>
      </w:tabs>
      <w:spacing w:before="260" w:after="260" w:line="416" w:lineRule="auto"/>
      <w:ind w:firstLine="0" w:firstLineChars="0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5">
    <w:name w:val="heading 4"/>
    <w:basedOn w:val="1"/>
    <w:next w:val="1"/>
    <w:link w:val="25"/>
    <w:qFormat/>
    <w:uiPriority w:val="9"/>
    <w:pPr>
      <w:keepNext/>
      <w:keepLines/>
      <w:widowControl/>
      <w:numPr>
        <w:ilvl w:val="3"/>
        <w:numId w:val="1"/>
      </w:numPr>
      <w:tabs>
        <w:tab w:val="left" w:pos="3699"/>
      </w:tabs>
      <w:spacing w:before="280" w:after="290" w:line="376" w:lineRule="auto"/>
      <w:ind w:right="210" w:rightChars="100" w:firstLine="0" w:firstLineChars="0"/>
      <w:jc w:val="left"/>
      <w:outlineLvl w:val="3"/>
    </w:pPr>
    <w:rPr>
      <w:rFonts w:ascii="Arial" w:hAnsi="Arial"/>
      <w:b/>
      <w:bCs/>
      <w:kern w:val="0"/>
      <w:szCs w:val="28"/>
    </w:rPr>
  </w:style>
  <w:style w:type="paragraph" w:styleId="6">
    <w:name w:val="heading 5"/>
    <w:basedOn w:val="1"/>
    <w:next w:val="1"/>
    <w:link w:val="26"/>
    <w:qFormat/>
    <w:uiPriority w:val="9"/>
    <w:pPr>
      <w:keepNext/>
      <w:keepLines/>
      <w:widowControl/>
      <w:numPr>
        <w:ilvl w:val="4"/>
        <w:numId w:val="1"/>
      </w:numPr>
      <w:tabs>
        <w:tab w:val="left" w:pos="1008"/>
      </w:tabs>
      <w:spacing w:before="280" w:after="290" w:line="376" w:lineRule="auto"/>
      <w:ind w:firstLine="0" w:firstLineChars="0"/>
      <w:jc w:val="left"/>
      <w:outlineLvl w:val="4"/>
    </w:pPr>
    <w:rPr>
      <w:rFonts w:ascii="Calibri" w:hAnsi="Calibri"/>
      <w:b/>
      <w:bCs/>
      <w:kern w:val="0"/>
      <w:szCs w:val="28"/>
    </w:rPr>
  </w:style>
  <w:style w:type="paragraph" w:styleId="7">
    <w:name w:val="heading 6"/>
    <w:basedOn w:val="1"/>
    <w:next w:val="1"/>
    <w:link w:val="27"/>
    <w:qFormat/>
    <w:uiPriority w:val="9"/>
    <w:pPr>
      <w:keepNext/>
      <w:keepLines/>
      <w:numPr>
        <w:ilvl w:val="5"/>
        <w:numId w:val="1"/>
      </w:numPr>
      <w:tabs>
        <w:tab w:val="left" w:pos="1152"/>
      </w:tabs>
      <w:spacing w:before="240" w:after="64" w:line="319" w:lineRule="auto"/>
      <w:ind w:firstLine="0" w:firstLineChars="0"/>
      <w:outlineLvl w:val="5"/>
    </w:pPr>
    <w:rPr>
      <w:rFonts w:ascii="Arial" w:hAnsi="Arial" w:eastAsia="黑体"/>
      <w:bCs/>
      <w:szCs w:val="24"/>
    </w:rPr>
  </w:style>
  <w:style w:type="paragraph" w:styleId="8">
    <w:name w:val="heading 7"/>
    <w:basedOn w:val="1"/>
    <w:next w:val="1"/>
    <w:link w:val="28"/>
    <w:qFormat/>
    <w:uiPriority w:val="9"/>
    <w:pPr>
      <w:keepNext/>
      <w:keepLines/>
      <w:numPr>
        <w:ilvl w:val="6"/>
        <w:numId w:val="1"/>
      </w:numPr>
      <w:tabs>
        <w:tab w:val="left" w:pos="1296"/>
      </w:tabs>
      <w:spacing w:before="240" w:after="64" w:line="319" w:lineRule="auto"/>
      <w:ind w:firstLine="0" w:firstLineChars="0"/>
      <w:outlineLvl w:val="6"/>
    </w:pPr>
    <w:rPr>
      <w:rFonts w:ascii="Calibri" w:hAnsi="Calibri"/>
      <w:b/>
      <w:bCs/>
      <w:szCs w:val="24"/>
    </w:rPr>
  </w:style>
  <w:style w:type="paragraph" w:styleId="9">
    <w:name w:val="heading 8"/>
    <w:basedOn w:val="1"/>
    <w:next w:val="1"/>
    <w:link w:val="29"/>
    <w:qFormat/>
    <w:uiPriority w:val="9"/>
    <w:pPr>
      <w:keepNext/>
      <w:keepLines/>
      <w:numPr>
        <w:ilvl w:val="7"/>
        <w:numId w:val="1"/>
      </w:numPr>
      <w:tabs>
        <w:tab w:val="left" w:pos="1440"/>
      </w:tabs>
      <w:spacing w:before="240" w:after="64" w:line="319" w:lineRule="auto"/>
      <w:ind w:firstLine="0" w:firstLineChars="0"/>
      <w:outlineLvl w:val="7"/>
    </w:pPr>
    <w:rPr>
      <w:rFonts w:ascii="Arial" w:hAnsi="Arial" w:eastAsia="黑体"/>
      <w:szCs w:val="24"/>
    </w:rPr>
  </w:style>
  <w:style w:type="paragraph" w:styleId="10">
    <w:name w:val="heading 9"/>
    <w:basedOn w:val="1"/>
    <w:next w:val="1"/>
    <w:link w:val="30"/>
    <w:qFormat/>
    <w:uiPriority w:val="9"/>
    <w:pPr>
      <w:keepNext/>
      <w:keepLines/>
      <w:numPr>
        <w:ilvl w:val="8"/>
        <w:numId w:val="1"/>
      </w:numPr>
      <w:tabs>
        <w:tab w:val="left" w:pos="1584"/>
      </w:tabs>
      <w:spacing w:before="240" w:after="64" w:line="319" w:lineRule="auto"/>
      <w:ind w:firstLine="0" w:firstLineChars="0"/>
      <w:outlineLvl w:val="8"/>
    </w:pPr>
    <w:rPr>
      <w:rFonts w:ascii="Arial" w:hAnsi="Arial" w:eastAsia="黑体"/>
      <w:szCs w:val="21"/>
    </w:rPr>
  </w:style>
  <w:style w:type="character" w:default="1" w:styleId="17">
    <w:name w:val="Default Paragraph Font"/>
    <w:unhideWhenUsed/>
    <w:qFormat/>
    <w:uiPriority w:val="1"/>
  </w:style>
  <w:style w:type="table" w:default="1" w:styleId="2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Hyperlink"/>
    <w:qFormat/>
    <w:uiPriority w:val="99"/>
    <w:rPr>
      <w:color w:val="0000FF"/>
      <w:u w:val="single"/>
    </w:rPr>
  </w:style>
  <w:style w:type="character" w:styleId="20">
    <w:name w:val="annotation reference"/>
    <w:qFormat/>
    <w:uiPriority w:val="0"/>
    <w:rPr>
      <w:sz w:val="21"/>
      <w:szCs w:val="21"/>
    </w:rPr>
  </w:style>
  <w:style w:type="character" w:customStyle="1" w:styleId="22">
    <w:name w:val="标题 1 字符"/>
    <w:basedOn w:val="17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3">
    <w:name w:val="标题 2 字符1"/>
    <w:link w:val="3"/>
    <w:qFormat/>
    <w:uiPriority w:val="0"/>
    <w:rPr>
      <w:rFonts w:ascii="Cambria" w:hAnsi="Cambria" w:eastAsia="黑体"/>
      <w:b/>
      <w:bCs/>
      <w:sz w:val="30"/>
      <w:szCs w:val="32"/>
    </w:rPr>
  </w:style>
  <w:style w:type="character" w:customStyle="1" w:styleId="24">
    <w:name w:val="标题 3 字符"/>
    <w:basedOn w:val="17"/>
    <w:link w:val="4"/>
    <w:qFormat/>
    <w:uiPriority w:val="0"/>
    <w:rPr>
      <w:rFonts w:ascii="Calibri" w:hAnsi="Calibri" w:eastAsia="宋体" w:cs="Times New Roman"/>
      <w:b/>
      <w:bCs/>
      <w:kern w:val="0"/>
      <w:sz w:val="28"/>
      <w:szCs w:val="32"/>
    </w:rPr>
  </w:style>
  <w:style w:type="character" w:customStyle="1" w:styleId="25">
    <w:name w:val="标题 4 字符"/>
    <w:basedOn w:val="17"/>
    <w:link w:val="5"/>
    <w:qFormat/>
    <w:uiPriority w:val="9"/>
    <w:rPr>
      <w:rFonts w:ascii="Arial" w:hAnsi="Arial" w:eastAsia="宋体" w:cs="Times New Roman"/>
      <w:b/>
      <w:bCs/>
      <w:kern w:val="0"/>
      <w:sz w:val="24"/>
      <w:szCs w:val="28"/>
    </w:rPr>
  </w:style>
  <w:style w:type="character" w:customStyle="1" w:styleId="26">
    <w:name w:val="标题 5 字符"/>
    <w:basedOn w:val="17"/>
    <w:link w:val="6"/>
    <w:qFormat/>
    <w:uiPriority w:val="9"/>
    <w:rPr>
      <w:rFonts w:ascii="Calibri" w:hAnsi="Calibri" w:eastAsia="宋体" w:cs="Times New Roman"/>
      <w:b/>
      <w:bCs/>
      <w:kern w:val="0"/>
      <w:sz w:val="24"/>
      <w:szCs w:val="28"/>
    </w:rPr>
  </w:style>
  <w:style w:type="character" w:customStyle="1" w:styleId="27">
    <w:name w:val="标题 6 字符"/>
    <w:basedOn w:val="17"/>
    <w:link w:val="7"/>
    <w:qFormat/>
    <w:uiPriority w:val="9"/>
    <w:rPr>
      <w:rFonts w:ascii="Arial" w:hAnsi="Arial" w:eastAsia="黑体" w:cs="Times New Roman"/>
      <w:bCs/>
      <w:sz w:val="24"/>
      <w:szCs w:val="24"/>
    </w:rPr>
  </w:style>
  <w:style w:type="character" w:customStyle="1" w:styleId="28">
    <w:name w:val="标题 7 字符"/>
    <w:basedOn w:val="17"/>
    <w:link w:val="8"/>
    <w:qFormat/>
    <w:uiPriority w:val="9"/>
    <w:rPr>
      <w:rFonts w:ascii="Calibri" w:hAnsi="Calibri" w:eastAsia="宋体" w:cs="Times New Roman"/>
      <w:b/>
      <w:bCs/>
      <w:sz w:val="24"/>
      <w:szCs w:val="24"/>
    </w:rPr>
  </w:style>
  <w:style w:type="character" w:customStyle="1" w:styleId="29">
    <w:name w:val="标题 8 字符"/>
    <w:basedOn w:val="17"/>
    <w:link w:val="9"/>
    <w:qFormat/>
    <w:uiPriority w:val="9"/>
    <w:rPr>
      <w:rFonts w:ascii="Arial" w:hAnsi="Arial" w:eastAsia="黑体" w:cs="Times New Roman"/>
      <w:sz w:val="24"/>
      <w:szCs w:val="24"/>
    </w:rPr>
  </w:style>
  <w:style w:type="character" w:customStyle="1" w:styleId="30">
    <w:name w:val="标题 9 字符"/>
    <w:basedOn w:val="17"/>
    <w:link w:val="10"/>
    <w:qFormat/>
    <w:uiPriority w:val="9"/>
    <w:rPr>
      <w:rFonts w:ascii="Arial" w:hAnsi="Arial" w:eastAsia="黑体" w:cs="Times New Roman"/>
      <w:szCs w:val="21"/>
    </w:rPr>
  </w:style>
  <w:style w:type="character" w:customStyle="1" w:styleId="31">
    <w:name w:val="标题 2 字符"/>
    <w:basedOn w:val="17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页眉 字符"/>
    <w:basedOn w:val="17"/>
    <w:link w:val="14"/>
    <w:qFormat/>
    <w:uiPriority w:val="99"/>
    <w:rPr>
      <w:sz w:val="18"/>
      <w:szCs w:val="18"/>
    </w:rPr>
  </w:style>
  <w:style w:type="character" w:customStyle="1" w:styleId="33">
    <w:name w:val="页脚 字符"/>
    <w:basedOn w:val="17"/>
    <w:link w:val="13"/>
    <w:qFormat/>
    <w:uiPriority w:val="99"/>
    <w:rPr>
      <w:sz w:val="18"/>
      <w:szCs w:val="18"/>
    </w:rPr>
  </w:style>
  <w:style w:type="character" w:customStyle="1" w:styleId="34">
    <w:name w:val="批注框文本 字符"/>
    <w:basedOn w:val="17"/>
    <w:link w:val="1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List Paragraph"/>
    <w:basedOn w:val="1"/>
    <w:qFormat/>
    <w:uiPriority w:val="34"/>
    <w:pPr>
      <w:ind w:firstLine="420"/>
    </w:pPr>
  </w:style>
  <w:style w:type="paragraph" w:customStyle="1" w:styleId="36">
    <w:name w:val="No Spacing"/>
    <w:link w:val="37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37">
    <w:name w:val="无间隔 字符"/>
    <w:basedOn w:val="17"/>
    <w:link w:val="36"/>
    <w:qFormat/>
    <w:uiPriority w:val="1"/>
    <w:rPr>
      <w:rFonts w:ascii="Times New Roman" w:hAnsi="Times New Roman" w:eastAsia="宋体" w:cs="Times New Roman"/>
      <w:szCs w:val="20"/>
    </w:rPr>
  </w:style>
  <w:style w:type="paragraph" w:customStyle="1" w:styleId="38">
    <w:name w:val="列出段落1"/>
    <w:basedOn w:val="1"/>
    <w:qFormat/>
    <w:uiPriority w:val="99"/>
    <w:pPr>
      <w:ind w:firstLine="420"/>
    </w:pPr>
    <w:rPr>
      <w:szCs w:val="24"/>
    </w:rPr>
  </w:style>
  <w:style w:type="character" w:customStyle="1" w:styleId="39">
    <w:name w:val="apple-converted-space"/>
    <w:basedOn w:val="17"/>
    <w:qFormat/>
    <w:uiPriority w:val="0"/>
  </w:style>
  <w:style w:type="character" w:customStyle="1" w:styleId="40">
    <w:name w:val="！正文 Char Char"/>
    <w:link w:val="41"/>
    <w:qFormat/>
    <w:uiPriority w:val="0"/>
    <w:rPr>
      <w:rFonts w:ascii="华文细黑" w:hAnsi="华文细黑" w:eastAsia="华文细黑"/>
      <w:sz w:val="24"/>
    </w:rPr>
  </w:style>
  <w:style w:type="paragraph" w:customStyle="1" w:styleId="41">
    <w:name w:val="！正文"/>
    <w:basedOn w:val="1"/>
    <w:link w:val="40"/>
    <w:qFormat/>
    <w:uiPriority w:val="0"/>
    <w:rPr>
      <w:rFonts w:ascii="华文细黑" w:hAnsi="华文细黑" w:eastAsia="华文细黑" w:cstheme="minorBidi"/>
      <w:szCs w:val="22"/>
    </w:rPr>
  </w:style>
  <w:style w:type="paragraph" w:customStyle="1" w:styleId="42">
    <w:name w:val="TOC 标题1"/>
    <w:basedOn w:val="2"/>
    <w:next w:val="1"/>
    <w:unhideWhenUsed/>
    <w:qFormat/>
    <w:uiPriority w:val="39"/>
    <w:pPr>
      <w:tabs>
        <w:tab w:val="clear" w:pos="1141"/>
      </w:tabs>
      <w:spacing w:before="240" w:after="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43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44">
    <w:name w:val="TOC 标题2"/>
    <w:basedOn w:val="2"/>
    <w:next w:val="1"/>
    <w:unhideWhenUsed/>
    <w:qFormat/>
    <w:uiPriority w:val="39"/>
    <w:pPr>
      <w:tabs>
        <w:tab w:val="clear" w:pos="1141"/>
      </w:tabs>
      <w:spacing w:before="240" w:after="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45">
    <w:name w:val="Unresolved Mention"/>
    <w:basedOn w:val="17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325DDB-B48C-4B34-88FE-524971B858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1347</Words>
  <Characters>1407</Characters>
  <Lines>5</Lines>
  <Paragraphs>1</Paragraphs>
  <ScaleCrop>false</ScaleCrop>
  <LinksUpToDate>false</LinksUpToDate>
  <CharactersWithSpaces>1448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2021-01-14T06:46:00Z</dcterms:created>
  <dc:creator>Windows 用户</dc:creator>
  <cp:lastModifiedBy>AAAA</cp:lastModifiedBy>
  <dcterms:modified xsi:type="dcterms:W3CDTF">2022-06-09T04:02:25Z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5517735239CE4F55881F7CB0254DDC8E</vt:lpwstr>
  </property>
</Properties>
</file>