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6F052" w14:textId="77777777" w:rsidR="003E7DE2" w:rsidRDefault="003E7DE2" w:rsidP="003E7DE2">
      <w:pPr>
        <w:pStyle w:val="a7"/>
        <w:shd w:val="clear" w:color="auto" w:fill="FFFFFF"/>
        <w:spacing w:before="0" w:beforeAutospacing="0" w:after="0" w:afterAutospacing="0"/>
        <w:jc w:val="center"/>
        <w:rPr>
          <w:color w:val="333333"/>
        </w:rPr>
      </w:pPr>
      <w:r>
        <w:rPr>
          <w:rFonts w:hint="eastAsia"/>
          <w:b/>
          <w:bCs/>
          <w:color w:val="333399"/>
        </w:rPr>
        <w:t>关于印发《中央财政科研项目专家咨询费管理办法》的通知</w:t>
      </w:r>
      <w:r>
        <w:rPr>
          <w:rFonts w:hint="eastAsia"/>
          <w:color w:val="333399"/>
        </w:rPr>
        <w:br/>
      </w:r>
      <w:r>
        <w:rPr>
          <w:rFonts w:ascii="楷体" w:eastAsia="楷体" w:hAnsi="楷体" w:hint="eastAsia"/>
          <w:color w:val="333399"/>
        </w:rPr>
        <w:t>财科教〔2017〕128号</w:t>
      </w:r>
    </w:p>
    <w:p w14:paraId="2B0E3EA6" w14:textId="77777777" w:rsidR="003E7DE2" w:rsidRDefault="003E7DE2" w:rsidP="003E7DE2">
      <w:pPr>
        <w:pStyle w:val="a7"/>
        <w:shd w:val="clear" w:color="auto" w:fill="FFFFFF"/>
        <w:spacing w:before="225" w:beforeAutospacing="0" w:after="0" w:afterAutospacing="0"/>
        <w:rPr>
          <w:rFonts w:hint="eastAsia"/>
          <w:color w:val="333333"/>
        </w:rPr>
      </w:pPr>
      <w:r>
        <w:rPr>
          <w:rFonts w:hint="eastAsia"/>
          <w:color w:val="333333"/>
        </w:rPr>
        <w:t>有关单位：</w:t>
      </w:r>
    </w:p>
    <w:p w14:paraId="5C863D5F"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根据中央本级项目支出定额标准管理和预算管理的要求，为进一步规范和加强中央级科研项目专家咨询活动的经费支出管理，提高资金使用效益，我们制定了《中央财政科研项目专家咨询费管理办法》，现印发你们，请遵照执行。</w:t>
      </w:r>
    </w:p>
    <w:p w14:paraId="24ED41E6"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附件：</w:t>
      </w:r>
      <w:hyperlink r:id="rId6" w:tgtFrame="_blank" w:history="1">
        <w:r>
          <w:rPr>
            <w:rStyle w:val="a8"/>
            <w:rFonts w:hint="eastAsia"/>
          </w:rPr>
          <w:t>中央财政科研项目专家咨询费管理办法</w:t>
        </w:r>
      </w:hyperlink>
    </w:p>
    <w:p w14:paraId="3D05ECF8" w14:textId="77777777" w:rsidR="003E7DE2" w:rsidRDefault="003E7DE2" w:rsidP="003E7DE2">
      <w:pPr>
        <w:pStyle w:val="a7"/>
        <w:shd w:val="clear" w:color="auto" w:fill="FFFFFF"/>
        <w:spacing w:before="0" w:beforeAutospacing="0" w:after="0" w:afterAutospacing="0"/>
        <w:jc w:val="right"/>
        <w:rPr>
          <w:rFonts w:hint="eastAsia"/>
          <w:color w:val="333333"/>
        </w:rPr>
      </w:pPr>
      <w:r>
        <w:rPr>
          <w:rFonts w:hint="eastAsia"/>
          <w:color w:val="333333"/>
        </w:rPr>
        <w:t>财政部</w:t>
      </w:r>
      <w:r>
        <w:rPr>
          <w:rFonts w:hint="eastAsia"/>
          <w:color w:val="333333"/>
        </w:rPr>
        <w:br/>
        <w:t>2017年9月4日</w:t>
      </w:r>
    </w:p>
    <w:p w14:paraId="2760CCD2" w14:textId="77777777" w:rsidR="003E7DE2" w:rsidRDefault="003E7DE2" w:rsidP="003E7DE2">
      <w:pPr>
        <w:pStyle w:val="a7"/>
        <w:shd w:val="clear" w:color="auto" w:fill="FFFFFF"/>
        <w:spacing w:before="0" w:beforeAutospacing="0" w:after="0" w:afterAutospacing="0"/>
        <w:rPr>
          <w:rFonts w:hint="eastAsia"/>
          <w:color w:val="333333"/>
        </w:rPr>
      </w:pPr>
      <w:r>
        <w:rPr>
          <w:rFonts w:hint="eastAsia"/>
          <w:b/>
          <w:bCs/>
          <w:color w:val="333333"/>
        </w:rPr>
        <w:t>附件：</w:t>
      </w:r>
    </w:p>
    <w:p w14:paraId="479E6F40" w14:textId="77777777" w:rsidR="003E7DE2" w:rsidRDefault="003E7DE2" w:rsidP="003E7DE2">
      <w:pPr>
        <w:pStyle w:val="a7"/>
        <w:shd w:val="clear" w:color="auto" w:fill="FFFFFF"/>
        <w:spacing w:before="0" w:beforeAutospacing="0" w:after="0" w:afterAutospacing="0"/>
        <w:jc w:val="center"/>
        <w:rPr>
          <w:rFonts w:hint="eastAsia"/>
          <w:color w:val="333333"/>
        </w:rPr>
      </w:pPr>
      <w:r>
        <w:rPr>
          <w:rFonts w:hint="eastAsia"/>
          <w:b/>
          <w:bCs/>
          <w:color w:val="333399"/>
        </w:rPr>
        <w:t>中央财政科研项目专家咨询费管理办法</w:t>
      </w:r>
    </w:p>
    <w:p w14:paraId="241ED7B9"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第一条 为加强和规范专家咨询费的管理，根据《预算法》以及中央本级项目支出定额标准等国家有关预算管理制度规定，制定本办法。</w:t>
      </w:r>
    </w:p>
    <w:p w14:paraId="4E469625"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第二条 专家咨询费是指科研项目（课题）承担单位（以下简称单位）在项目（课题）实施过程中支付给临时聘请的咨询专家的费用。</w:t>
      </w:r>
    </w:p>
    <w:p w14:paraId="04FADD4A"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第三条 本办法适用于由中央财政科研项目资金列支的专家咨询费。</w:t>
      </w:r>
    </w:p>
    <w:p w14:paraId="27081D2D"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第四条 本办法的专家是指精通某一领域业务，或对相关科技业务的某一方面有独到见解，已取得高级专业技术职称的人员或被科研项目（课题）承担单位认可的其他专业人员。</w:t>
      </w:r>
    </w:p>
    <w:p w14:paraId="7D541126"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第五条 单位应当结合实际制定统一、合理、规范的咨询专家遴选办法，并在单位内部公开。具备条件的单位应当建立多领域、多学科的咨询专家库。</w:t>
      </w:r>
    </w:p>
    <w:p w14:paraId="1D22DBCA"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第六条 高级专业技术职称人员的专家咨询费标准为1500-2400元／人天（税后）；其他专业人员的专家咨询费标准为900-1500元／人天（税后）。</w:t>
      </w:r>
    </w:p>
    <w:p w14:paraId="5D5686F5"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第七条 院士、全国知名专家，可按照高级专业技术职称人员的专家咨询费标准上浮50%执行。</w:t>
      </w:r>
    </w:p>
    <w:p w14:paraId="5B845625"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第八条 本办法所指专家咨询活动的组织形式主要有会议、现场访谈或者勘察、通讯三种形式。</w:t>
      </w:r>
    </w:p>
    <w:p w14:paraId="7EE9ADEB"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（1）以会议形式组织的咨询，是指通过召开专家参加的会议，征询专家的意见和建议。</w:t>
      </w:r>
    </w:p>
    <w:p w14:paraId="65C20076"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（2）以现场访谈或者勘察形式组织的咨询，是指通过组织现场谈话，或者查看实地、实物、</w:t>
      </w:r>
      <w:proofErr w:type="gramStart"/>
      <w:r>
        <w:rPr>
          <w:rFonts w:hint="eastAsia"/>
          <w:color w:val="333333"/>
        </w:rPr>
        <w:t>原始业务</w:t>
      </w:r>
      <w:proofErr w:type="gramEnd"/>
      <w:r>
        <w:rPr>
          <w:rFonts w:hint="eastAsia"/>
          <w:color w:val="333333"/>
        </w:rPr>
        <w:t>资料等方式征询专家的意见和建议。</w:t>
      </w:r>
    </w:p>
    <w:p w14:paraId="5E98A4E1"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（3）以通讯形式组织的咨询，是指通过信函、邮件等方式征询专家的意见和建议。</w:t>
      </w:r>
    </w:p>
    <w:p w14:paraId="20FA28CD"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lastRenderedPageBreak/>
        <w:t>第九条 不同形式组织的专家咨询活动适用专家咨询费标准如下：</w:t>
      </w:r>
    </w:p>
    <w:p w14:paraId="37FC0AE1" w14:textId="5B6465A8" w:rsidR="003E7DE2" w:rsidRDefault="003E7DE2" w:rsidP="003E7DE2">
      <w:pPr>
        <w:pStyle w:val="a7"/>
        <w:shd w:val="clear" w:color="auto" w:fill="FFFFFF"/>
        <w:spacing w:before="225" w:beforeAutospacing="0" w:after="0" w:afterAutospacing="0"/>
        <w:jc w:val="center"/>
        <w:rPr>
          <w:rFonts w:hint="eastAsia"/>
          <w:color w:val="333333"/>
        </w:rPr>
      </w:pPr>
      <w:bookmarkStart w:id="0" w:name="_GoBack"/>
      <w:r>
        <w:rPr>
          <w:noProof/>
          <w:color w:val="333333"/>
        </w:rPr>
        <w:drawing>
          <wp:inline distT="0" distB="0" distL="0" distR="0" wp14:anchorId="2E26C316" wp14:editId="5B61EB86">
            <wp:extent cx="4953000" cy="3280923"/>
            <wp:effectExtent l="0" t="0" r="0" b="0"/>
            <wp:docPr id="1" name="图片 1" descr="http://www.gov.cn/xinwen/2017-09/30/5228938/images/a27f3d2aab964aca88e4eaaacb181f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v.cn/xinwen/2017-09/30/5228938/images/a27f3d2aab964aca88e4eaaacb181fc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9332" cy="3291742"/>
                    </a:xfrm>
                    <a:prstGeom prst="rect">
                      <a:avLst/>
                    </a:prstGeom>
                    <a:noFill/>
                    <a:ln>
                      <a:noFill/>
                    </a:ln>
                  </pic:spPr>
                </pic:pic>
              </a:graphicData>
            </a:graphic>
          </wp:inline>
        </w:drawing>
      </w:r>
      <w:bookmarkEnd w:id="0"/>
    </w:p>
    <w:p w14:paraId="5B3A1B60"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第十条 不同领域、相同专业技术职称的专家咨询费标准应当保持一致。</w:t>
      </w:r>
    </w:p>
    <w:p w14:paraId="5F391035"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第十一条 根据国家经济社会发展水平和物价变动等情况，财政部适时对专家咨询费标准进行调整。</w:t>
      </w:r>
    </w:p>
    <w:p w14:paraId="2B2FB565"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第十二条 专家咨询费不得支付给参与项目（课题）研究及其管理的相关人员。</w:t>
      </w:r>
    </w:p>
    <w:p w14:paraId="604EABFF"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第十三条 专家咨询费的发放应当按照国家有关规定由单位代扣代缴个人所得税。</w:t>
      </w:r>
    </w:p>
    <w:p w14:paraId="45293A57"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第十四条 单位发放专家咨询费原则上采用银行转账方式。</w:t>
      </w:r>
    </w:p>
    <w:p w14:paraId="59AFFA3D"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第十五条 单位应当建立专家咨询费的支付审核机制，负责核实专家咨询行为及专家咨询费发放的真实性、合</w:t>
      </w:r>
      <w:proofErr w:type="gramStart"/>
      <w:r>
        <w:rPr>
          <w:rFonts w:hint="eastAsia"/>
          <w:color w:val="333333"/>
        </w:rPr>
        <w:t>规</w:t>
      </w:r>
      <w:proofErr w:type="gramEnd"/>
      <w:r>
        <w:rPr>
          <w:rFonts w:hint="eastAsia"/>
          <w:color w:val="333333"/>
        </w:rPr>
        <w:t>性，并及时向代理银行办理支付手续。对专家信息不真实、存在虚假咨询行为，以及其他违反本办法或单位有关规定的，单位应当拒绝办理支付手续。</w:t>
      </w:r>
    </w:p>
    <w:p w14:paraId="4F1FDFCF"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第十六条 单位应当对专家咨询费的开支做好财务记录，并及时归档，定期对专家咨询费支付情况进行检查。</w:t>
      </w:r>
    </w:p>
    <w:p w14:paraId="14D9E663"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第十七条 地方财政科研项目开支的专家咨询费可参照本办法，结合本地实际予以执行。</w:t>
      </w:r>
    </w:p>
    <w:p w14:paraId="066823CF"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第十八条 单位可根据本办法有关规定，结合单位实际制定实施细则。</w:t>
      </w:r>
    </w:p>
    <w:p w14:paraId="64326662" w14:textId="77777777" w:rsidR="003E7DE2" w:rsidRDefault="003E7DE2" w:rsidP="003E7DE2">
      <w:pPr>
        <w:pStyle w:val="a7"/>
        <w:shd w:val="clear" w:color="auto" w:fill="FFFFFF"/>
        <w:spacing w:before="225" w:beforeAutospacing="0" w:after="0" w:afterAutospacing="0"/>
        <w:ind w:firstLine="480"/>
        <w:rPr>
          <w:rFonts w:hint="eastAsia"/>
          <w:color w:val="333333"/>
        </w:rPr>
      </w:pPr>
      <w:r>
        <w:rPr>
          <w:rFonts w:hint="eastAsia"/>
          <w:color w:val="333333"/>
        </w:rPr>
        <w:t>第十九条 本办法自印发之日起施行。</w:t>
      </w:r>
    </w:p>
    <w:p w14:paraId="29F7317C" w14:textId="77777777" w:rsidR="00124930" w:rsidRPr="003E7DE2" w:rsidRDefault="00124930"/>
    <w:sectPr w:rsidR="00124930" w:rsidRPr="003E7D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F0E21" w14:textId="77777777" w:rsidR="00ED0FD7" w:rsidRDefault="00ED0FD7" w:rsidP="003E7DE2">
      <w:r>
        <w:separator/>
      </w:r>
    </w:p>
  </w:endnote>
  <w:endnote w:type="continuationSeparator" w:id="0">
    <w:p w14:paraId="531AE18A" w14:textId="77777777" w:rsidR="00ED0FD7" w:rsidRDefault="00ED0FD7" w:rsidP="003E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6BCC4" w14:textId="77777777" w:rsidR="00ED0FD7" w:rsidRDefault="00ED0FD7" w:rsidP="003E7DE2">
      <w:r>
        <w:separator/>
      </w:r>
    </w:p>
  </w:footnote>
  <w:footnote w:type="continuationSeparator" w:id="0">
    <w:p w14:paraId="552174CF" w14:textId="77777777" w:rsidR="00ED0FD7" w:rsidRDefault="00ED0FD7" w:rsidP="003E7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EB"/>
    <w:rsid w:val="00124930"/>
    <w:rsid w:val="003220EB"/>
    <w:rsid w:val="003E7DE2"/>
    <w:rsid w:val="00ED0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78DAEE-2189-4037-86B8-949A98E8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7DE2"/>
    <w:rPr>
      <w:sz w:val="18"/>
      <w:szCs w:val="18"/>
    </w:rPr>
  </w:style>
  <w:style w:type="paragraph" w:styleId="a5">
    <w:name w:val="footer"/>
    <w:basedOn w:val="a"/>
    <w:link w:val="a6"/>
    <w:uiPriority w:val="99"/>
    <w:unhideWhenUsed/>
    <w:rsid w:val="003E7DE2"/>
    <w:pPr>
      <w:tabs>
        <w:tab w:val="center" w:pos="4153"/>
        <w:tab w:val="right" w:pos="8306"/>
      </w:tabs>
      <w:snapToGrid w:val="0"/>
      <w:jc w:val="left"/>
    </w:pPr>
    <w:rPr>
      <w:sz w:val="18"/>
      <w:szCs w:val="18"/>
    </w:rPr>
  </w:style>
  <w:style w:type="character" w:customStyle="1" w:styleId="a6">
    <w:name w:val="页脚 字符"/>
    <w:basedOn w:val="a0"/>
    <w:link w:val="a5"/>
    <w:uiPriority w:val="99"/>
    <w:rsid w:val="003E7DE2"/>
    <w:rPr>
      <w:sz w:val="18"/>
      <w:szCs w:val="18"/>
    </w:rPr>
  </w:style>
  <w:style w:type="paragraph" w:styleId="a7">
    <w:name w:val="Normal (Web)"/>
    <w:basedOn w:val="a"/>
    <w:uiPriority w:val="99"/>
    <w:semiHidden/>
    <w:unhideWhenUsed/>
    <w:rsid w:val="003E7DE2"/>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3E7D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74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xinwen/2017-09/30/5228938/files/8d3b266c0f644ca4890095869ea06165.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2018-08-30T01:29:00Z</dcterms:created>
  <dcterms:modified xsi:type="dcterms:W3CDTF">2018-08-30T01:30:00Z</dcterms:modified>
</cp:coreProperties>
</file>