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62" w:rsidRDefault="006A0F62">
      <w:pPr>
        <w:adjustRightInd/>
        <w:snapToGrid/>
        <w:spacing w:after="0" w:line="560" w:lineRule="exact"/>
        <w:ind w:rightChars="400" w:right="863"/>
        <w:rPr>
          <w:rFonts w:ascii="方正小标宋简体" w:eastAsia="方正小标宋简体" w:hAnsi="宋体" w:cs="Times New Roman"/>
          <w:kern w:val="2"/>
          <w:sz w:val="32"/>
          <w:szCs w:val="32"/>
        </w:rPr>
      </w:pPr>
      <w:bookmarkStart w:id="0" w:name="_Toc352926006"/>
    </w:p>
    <w:bookmarkEnd w:id="0"/>
    <w:p w:rsidR="006A0F62" w:rsidRDefault="00A923BE">
      <w:pPr>
        <w:adjustRightInd/>
        <w:snapToGrid/>
        <w:spacing w:line="560" w:lineRule="exact"/>
        <w:jc w:val="center"/>
        <w:rPr>
          <w:rFonts w:ascii="方正小标宋简体" w:eastAsia="方正小标宋简体" w:hAnsi="宋体" w:cs="Times New Roman"/>
          <w:kern w:val="2"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bCs/>
          <w:kern w:val="2"/>
          <w:sz w:val="44"/>
          <w:szCs w:val="44"/>
        </w:rPr>
        <w:t xml:space="preserve"> </w:t>
      </w:r>
      <w:r w:rsidR="00B2158F">
        <w:rPr>
          <w:rFonts w:ascii="方正小标宋简体" w:eastAsia="方正小标宋简体" w:hAnsi="宋体" w:cs="Times New Roman" w:hint="eastAsia"/>
          <w:bCs/>
          <w:kern w:val="2"/>
          <w:sz w:val="44"/>
          <w:szCs w:val="44"/>
        </w:rPr>
        <w:t>“0817”+“化学工程与技术”硕士研究生培养方案</w:t>
      </w:r>
    </w:p>
    <w:p w:rsidR="006A0F62" w:rsidRDefault="00B2158F">
      <w:pPr>
        <w:adjustRightInd/>
        <w:snapToGrid/>
        <w:spacing w:line="560" w:lineRule="exact"/>
        <w:jc w:val="center"/>
        <w:rPr>
          <w:rFonts w:ascii="方正小标宋_GBK" w:eastAsia="方正小标宋_GBK" w:hAnsi="宋体" w:cs="Times New Roman"/>
          <w:kern w:val="2"/>
          <w:sz w:val="32"/>
          <w:szCs w:val="32"/>
        </w:rPr>
      </w:pPr>
      <w:r>
        <w:rPr>
          <w:rFonts w:ascii="方正小标宋_GBK" w:eastAsia="方正小标宋_GBK" w:hAnsi="宋体" w:cs="Times New Roman" w:hint="eastAsia"/>
          <w:kern w:val="2"/>
          <w:sz w:val="32"/>
          <w:szCs w:val="32"/>
        </w:rPr>
        <w:t>（2</w:t>
      </w:r>
      <w:r>
        <w:rPr>
          <w:rFonts w:ascii="方正小标宋_GBK" w:eastAsia="方正小标宋_GBK" w:hAnsi="宋体" w:cs="Times New Roman"/>
          <w:kern w:val="2"/>
          <w:sz w:val="32"/>
          <w:szCs w:val="32"/>
        </w:rPr>
        <w:t>022</w:t>
      </w:r>
      <w:r>
        <w:rPr>
          <w:rFonts w:ascii="方正小标宋_GBK" w:eastAsia="方正小标宋_GBK" w:hAnsi="宋体" w:cs="Times New Roman" w:hint="eastAsia"/>
          <w:kern w:val="2"/>
          <w:sz w:val="32"/>
          <w:szCs w:val="32"/>
        </w:rPr>
        <w:t>级）</w:t>
      </w:r>
    </w:p>
    <w:p w:rsidR="006A0F62" w:rsidRDefault="00B2158F">
      <w:pPr>
        <w:widowControl w:val="0"/>
        <w:adjustRightInd/>
        <w:spacing w:after="0" w:line="560" w:lineRule="exact"/>
        <w:ind w:firstLineChars="200" w:firstLine="632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kern w:val="2"/>
          <w:sz w:val="32"/>
          <w:szCs w:val="32"/>
        </w:rPr>
        <w:t>一、培养目标</w:t>
      </w:r>
    </w:p>
    <w:p w:rsidR="006A0F62" w:rsidRDefault="00B2158F">
      <w:pPr>
        <w:widowControl w:val="0"/>
        <w:adjustRightInd/>
        <w:spacing w:after="0" w:line="560" w:lineRule="exact"/>
        <w:ind w:firstLineChars="200" w:firstLine="634"/>
        <w:jc w:val="both"/>
        <w:rPr>
          <w:rFonts w:ascii="楷体_GB2312" w:eastAsia="楷体_GB2312" w:hAnsi="黑体" w:cs="Times New Roman"/>
          <w:b/>
          <w:kern w:val="2"/>
          <w:sz w:val="32"/>
          <w:szCs w:val="32"/>
        </w:rPr>
      </w:pPr>
      <w:r>
        <w:rPr>
          <w:rFonts w:ascii="楷体_GB2312" w:eastAsia="楷体_GB2312" w:hAnsi="黑体" w:cs="Times New Roman" w:hint="eastAsia"/>
          <w:b/>
          <w:kern w:val="2"/>
          <w:sz w:val="32"/>
          <w:szCs w:val="32"/>
        </w:rPr>
        <w:t>（一）基本要求</w:t>
      </w:r>
    </w:p>
    <w:p w:rsidR="006A0F62" w:rsidRDefault="00B2158F">
      <w:pPr>
        <w:widowControl w:val="0"/>
        <w:adjustRightInd/>
        <w:spacing w:after="0" w:line="560" w:lineRule="exact"/>
        <w:ind w:firstLineChars="200" w:firstLine="634"/>
        <w:jc w:val="both"/>
        <w:rPr>
          <w:rFonts w:ascii="仿宋_GB2312" w:eastAsia="仿宋_GB2312" w:hAnsi="黑体" w:cs="Times New Roman"/>
          <w:b/>
          <w:kern w:val="2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kern w:val="2"/>
          <w:sz w:val="32"/>
          <w:szCs w:val="32"/>
        </w:rPr>
        <w:t>1.</w:t>
      </w: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>德智体美劳全面发展；</w:t>
      </w:r>
      <w:r>
        <w:rPr>
          <w:rFonts w:ascii="仿宋_GB2312" w:eastAsia="仿宋_GB2312" w:hAnsi="黑体" w:cs="Times New Roman" w:hint="eastAsia"/>
          <w:b/>
          <w:kern w:val="2"/>
          <w:sz w:val="32"/>
          <w:szCs w:val="32"/>
        </w:rPr>
        <w:t xml:space="preserve"> </w:t>
      </w:r>
    </w:p>
    <w:p w:rsidR="006A0F62" w:rsidRDefault="00B2158F">
      <w:pPr>
        <w:widowControl w:val="0"/>
        <w:adjustRightInd/>
        <w:spacing w:after="0" w:line="560" w:lineRule="exact"/>
        <w:ind w:firstLineChars="200" w:firstLine="634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kern w:val="2"/>
          <w:sz w:val="32"/>
          <w:szCs w:val="32"/>
        </w:rPr>
        <w:t>2.</w:t>
      </w: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 xml:space="preserve">具有坚定的理想信念、高尚的道德情操，具有严守学术规范的意识、高度的社会责任感和敬业精神； </w:t>
      </w:r>
    </w:p>
    <w:p w:rsidR="006A0F62" w:rsidRDefault="00B2158F">
      <w:pPr>
        <w:widowControl w:val="0"/>
        <w:adjustRightInd/>
        <w:spacing w:after="0" w:line="560" w:lineRule="exact"/>
        <w:ind w:firstLineChars="200" w:firstLine="634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kern w:val="2"/>
          <w:sz w:val="32"/>
          <w:szCs w:val="32"/>
        </w:rPr>
        <w:t>3.</w:t>
      </w: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>具有扎实的化学工程与技术基础理论和专业知识，具有一定的从事科学研究和解决实际问题的能力；具有应用外语开展学术研究和学术交流的基本能力；</w:t>
      </w:r>
    </w:p>
    <w:p w:rsidR="006A0F62" w:rsidRDefault="00B2158F">
      <w:pPr>
        <w:widowControl w:val="0"/>
        <w:adjustRightInd/>
        <w:spacing w:after="0" w:line="560" w:lineRule="exact"/>
        <w:ind w:firstLineChars="200" w:firstLine="634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kern w:val="2"/>
          <w:sz w:val="32"/>
          <w:szCs w:val="32"/>
        </w:rPr>
        <w:t>4.</w:t>
      </w: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>具有到艰苦地区和行业工作的奋斗精神和面对重大疫情、灾害等危机主动作为的奉献精神。</w:t>
      </w:r>
    </w:p>
    <w:p w:rsidR="006A0F62" w:rsidRDefault="00B2158F">
      <w:pPr>
        <w:widowControl w:val="0"/>
        <w:adjustRightInd/>
        <w:spacing w:after="0" w:line="560" w:lineRule="exact"/>
        <w:ind w:firstLineChars="200" w:firstLine="634"/>
        <w:jc w:val="both"/>
        <w:rPr>
          <w:rFonts w:ascii="楷体_GB2312" w:eastAsia="楷体_GB2312" w:hAnsi="黑体" w:cs="Times New Roman"/>
          <w:b/>
          <w:color w:val="000000" w:themeColor="text1"/>
          <w:kern w:val="2"/>
          <w:sz w:val="32"/>
          <w:szCs w:val="32"/>
        </w:rPr>
      </w:pPr>
      <w:r>
        <w:rPr>
          <w:rFonts w:ascii="楷体_GB2312" w:eastAsia="楷体_GB2312" w:hAnsi="黑体" w:cs="Times New Roman" w:hint="eastAsia"/>
          <w:b/>
          <w:color w:val="000000" w:themeColor="text1"/>
          <w:kern w:val="2"/>
          <w:sz w:val="32"/>
          <w:szCs w:val="32"/>
        </w:rPr>
        <w:t>（二）具体要求</w:t>
      </w:r>
    </w:p>
    <w:p w:rsidR="006A0F62" w:rsidRDefault="00B2158F">
      <w:pPr>
        <w:widowControl w:val="0"/>
        <w:adjustRightInd/>
        <w:spacing w:after="0" w:line="560" w:lineRule="exact"/>
        <w:ind w:firstLineChars="200" w:firstLine="632"/>
        <w:jc w:val="both"/>
        <w:rPr>
          <w:rFonts w:ascii="黑体" w:eastAsia="黑体" w:hAnsi="黑体" w:cs="Times New Roman"/>
          <w:bCs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Cs/>
          <w:kern w:val="2"/>
          <w:sz w:val="32"/>
          <w:szCs w:val="32"/>
        </w:rPr>
        <w:t>二、二级学科和研究方向</w:t>
      </w:r>
    </w:p>
    <w:p w:rsidR="006A0F62" w:rsidRDefault="00B2158F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color w:val="000000" w:themeColor="text1"/>
          <w:kern w:val="2"/>
          <w:sz w:val="32"/>
          <w:szCs w:val="32"/>
        </w:rPr>
      </w:pPr>
      <w:r>
        <w:rPr>
          <w:rFonts w:ascii="仿宋_GB2312" w:eastAsia="仿宋_GB2312" w:hAnsi="黑体" w:cs="Times New Roman" w:hint="eastAsia"/>
          <w:color w:val="000000" w:themeColor="text1"/>
          <w:kern w:val="2"/>
          <w:sz w:val="32"/>
          <w:szCs w:val="32"/>
        </w:rPr>
        <w:t>081702  化学工艺</w:t>
      </w:r>
    </w:p>
    <w:p w:rsidR="006A0F62" w:rsidRDefault="00B2158F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color w:val="000000" w:themeColor="text1"/>
          <w:kern w:val="2"/>
          <w:sz w:val="32"/>
          <w:szCs w:val="32"/>
        </w:rPr>
      </w:pPr>
      <w:r>
        <w:rPr>
          <w:rFonts w:ascii="仿宋_GB2312" w:eastAsia="仿宋_GB2312" w:hAnsi="黑体" w:cs="Times New Roman" w:hint="eastAsia"/>
          <w:color w:val="000000" w:themeColor="text1"/>
          <w:kern w:val="2"/>
          <w:sz w:val="32"/>
          <w:szCs w:val="32"/>
        </w:rPr>
        <w:t>081704  应用化学</w:t>
      </w:r>
    </w:p>
    <w:p w:rsidR="006A0F62" w:rsidRDefault="00B2158F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color w:val="000000" w:themeColor="text1"/>
          <w:kern w:val="2"/>
          <w:sz w:val="32"/>
          <w:szCs w:val="32"/>
        </w:rPr>
      </w:pPr>
      <w:r>
        <w:rPr>
          <w:rFonts w:ascii="仿宋_GB2312" w:eastAsia="仿宋_GB2312" w:hAnsi="黑体" w:cs="Times New Roman" w:hint="eastAsia"/>
          <w:color w:val="000000" w:themeColor="text1"/>
          <w:kern w:val="2"/>
          <w:sz w:val="32"/>
          <w:szCs w:val="32"/>
        </w:rPr>
        <w:t>081705  工业催化</w:t>
      </w:r>
    </w:p>
    <w:p w:rsidR="006A0F62" w:rsidRDefault="00B2158F">
      <w:pPr>
        <w:widowControl w:val="0"/>
        <w:numPr>
          <w:ilvl w:val="0"/>
          <w:numId w:val="1"/>
        </w:numPr>
        <w:adjustRightInd/>
        <w:spacing w:after="0" w:line="560" w:lineRule="exact"/>
        <w:ind w:firstLineChars="200" w:firstLine="632"/>
        <w:jc w:val="both"/>
        <w:rPr>
          <w:rFonts w:ascii="黑体" w:eastAsia="黑体" w:hAnsi="黑体" w:cs="Times New Roman"/>
          <w:bCs/>
          <w:color w:val="000000" w:themeColor="text1"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Cs/>
          <w:color w:val="000000" w:themeColor="text1"/>
          <w:kern w:val="2"/>
          <w:sz w:val="32"/>
          <w:szCs w:val="32"/>
        </w:rPr>
        <w:t>培养方式</w:t>
      </w:r>
    </w:p>
    <w:p w:rsidR="006A0F62" w:rsidRDefault="00B2158F">
      <w:pPr>
        <w:widowControl w:val="0"/>
        <w:adjustRightInd/>
        <w:spacing w:after="0" w:line="560" w:lineRule="exact"/>
        <w:ind w:firstLineChars="200" w:firstLine="632"/>
        <w:jc w:val="both"/>
        <w:rPr>
          <w:rFonts w:ascii="黑体" w:eastAsia="黑体" w:hAnsi="黑体" w:cs="Times New Roman"/>
          <w:bCs/>
          <w:color w:val="000000" w:themeColor="text1"/>
          <w:kern w:val="2"/>
          <w:sz w:val="32"/>
          <w:szCs w:val="32"/>
        </w:rPr>
      </w:pP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>培养工作采取导师负责制，建立以导师为主导的指导小组，鼓励组建多学科交叉的跨学科的导师团队。</w:t>
      </w:r>
    </w:p>
    <w:p w:rsidR="006A0F62" w:rsidRDefault="00B2158F">
      <w:pPr>
        <w:widowControl w:val="0"/>
        <w:adjustRightInd/>
        <w:spacing w:after="0" w:line="560" w:lineRule="exact"/>
        <w:ind w:firstLineChars="200" w:firstLine="632"/>
        <w:jc w:val="both"/>
        <w:rPr>
          <w:rFonts w:ascii="黑体" w:eastAsia="黑体" w:hAnsi="黑体" w:cs="Times New Roman"/>
          <w:bCs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Cs/>
          <w:kern w:val="2"/>
          <w:sz w:val="32"/>
          <w:szCs w:val="32"/>
        </w:rPr>
        <w:lastRenderedPageBreak/>
        <w:t>四、学习年限</w:t>
      </w:r>
    </w:p>
    <w:p w:rsidR="006A0F62" w:rsidRDefault="00B2158F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>3年（最长不超过4年）</w:t>
      </w:r>
    </w:p>
    <w:p w:rsidR="006A0F62" w:rsidRDefault="00B2158F">
      <w:pPr>
        <w:widowControl w:val="0"/>
        <w:adjustRightInd/>
        <w:spacing w:after="0" w:line="560" w:lineRule="exact"/>
        <w:ind w:firstLineChars="200" w:firstLine="632"/>
        <w:jc w:val="both"/>
        <w:rPr>
          <w:rFonts w:ascii="黑体" w:eastAsia="黑体" w:hAnsi="黑体" w:cs="Times New Roman"/>
          <w:bCs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Cs/>
          <w:kern w:val="2"/>
          <w:sz w:val="32"/>
          <w:szCs w:val="32"/>
        </w:rPr>
        <w:t>五、学分要求</w:t>
      </w:r>
    </w:p>
    <w:p w:rsidR="006A0F62" w:rsidRDefault="00B2158F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>总学分不低于30学分。其中：</w:t>
      </w:r>
    </w:p>
    <w:p w:rsidR="006A0F62" w:rsidRDefault="00B2158F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 xml:space="preserve">1.课程设置不低于24学分，其中公共必修课7学分，公共选修课2学分，专业必修课不低于7学分，专业选修课不低于7学分，跨学科选修课不低于1学分。 </w:t>
      </w:r>
    </w:p>
    <w:p w:rsidR="006A0F62" w:rsidRDefault="00B2158F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>2.实践环节（</w:t>
      </w:r>
      <w:proofErr w:type="gramStart"/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>含劳动</w:t>
      </w:r>
      <w:proofErr w:type="gramEnd"/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>教育）</w:t>
      </w:r>
      <w:r>
        <w:rPr>
          <w:rFonts w:ascii="仿宋_GB2312" w:eastAsia="仿宋_GB2312" w:hAnsi="黑体" w:cs="Times New Roman"/>
          <w:kern w:val="2"/>
          <w:sz w:val="32"/>
          <w:szCs w:val="32"/>
        </w:rPr>
        <w:t>1</w:t>
      </w: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>学分。</w:t>
      </w:r>
    </w:p>
    <w:p w:rsidR="006A0F62" w:rsidRDefault="00B2158F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>
        <w:rPr>
          <w:rFonts w:ascii="仿宋_GB2312" w:eastAsia="仿宋_GB2312" w:hAnsi="黑体" w:cs="Times New Roman"/>
          <w:kern w:val="2"/>
          <w:sz w:val="32"/>
          <w:szCs w:val="32"/>
        </w:rPr>
        <w:t>3.</w:t>
      </w: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>文献综述与开题报告1学分。</w:t>
      </w:r>
    </w:p>
    <w:p w:rsidR="006A0F62" w:rsidRDefault="00B2158F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>
        <w:rPr>
          <w:rFonts w:ascii="仿宋_GB2312" w:eastAsia="仿宋_GB2312" w:hAnsi="黑体" w:cs="Times New Roman"/>
          <w:kern w:val="2"/>
          <w:sz w:val="32"/>
          <w:szCs w:val="32"/>
        </w:rPr>
        <w:t>4.中期考核</w:t>
      </w: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>1学分。</w:t>
      </w:r>
    </w:p>
    <w:p w:rsidR="006A0F62" w:rsidRDefault="00B2158F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>
        <w:rPr>
          <w:rFonts w:ascii="仿宋_GB2312" w:eastAsia="仿宋_GB2312" w:hAnsi="黑体" w:cs="Times New Roman"/>
          <w:kern w:val="2"/>
          <w:sz w:val="32"/>
          <w:szCs w:val="32"/>
        </w:rPr>
        <w:t>5.</w:t>
      </w: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>预审读1学分。</w:t>
      </w:r>
    </w:p>
    <w:p w:rsidR="006A0F62" w:rsidRDefault="00B2158F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>
        <w:rPr>
          <w:rFonts w:ascii="仿宋_GB2312" w:eastAsia="仿宋_GB2312" w:hAnsi="黑体" w:cs="Times New Roman"/>
          <w:kern w:val="2"/>
          <w:sz w:val="32"/>
          <w:szCs w:val="32"/>
        </w:rPr>
        <w:t>6.</w:t>
      </w: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>学术交流2学分。</w:t>
      </w:r>
    </w:p>
    <w:p w:rsidR="006A0F62" w:rsidRDefault="00B2158F">
      <w:pPr>
        <w:widowControl w:val="0"/>
        <w:adjustRightInd/>
        <w:spacing w:after="0" w:line="560" w:lineRule="exact"/>
        <w:ind w:firstLineChars="200" w:firstLine="632"/>
        <w:jc w:val="both"/>
        <w:rPr>
          <w:rFonts w:ascii="黑体" w:eastAsia="黑体" w:hAnsi="黑体" w:cs="Times New Roman"/>
          <w:bCs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Cs/>
          <w:kern w:val="2"/>
          <w:sz w:val="32"/>
          <w:szCs w:val="32"/>
        </w:rPr>
        <w:t>六、课程设置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4"/>
        <w:gridCol w:w="1142"/>
        <w:gridCol w:w="1767"/>
        <w:gridCol w:w="734"/>
        <w:gridCol w:w="719"/>
        <w:gridCol w:w="810"/>
        <w:gridCol w:w="810"/>
        <w:gridCol w:w="1754"/>
      </w:tblGrid>
      <w:tr w:rsidR="006A0F62">
        <w:trPr>
          <w:trHeight w:val="579"/>
          <w:jc w:val="center"/>
        </w:trPr>
        <w:tc>
          <w:tcPr>
            <w:tcW w:w="730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  <w:lang w:bidi="ar"/>
              </w:rPr>
              <w:t>类别</w:t>
            </w:r>
          </w:p>
        </w:tc>
        <w:tc>
          <w:tcPr>
            <w:tcW w:w="630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  <w:lang w:bidi="ar"/>
              </w:rPr>
              <w:t>课程编号</w:t>
            </w:r>
          </w:p>
        </w:tc>
        <w:tc>
          <w:tcPr>
            <w:tcW w:w="975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  <w:lang w:bidi="ar"/>
              </w:rPr>
              <w:t>课程名称</w:t>
            </w:r>
          </w:p>
        </w:tc>
        <w:tc>
          <w:tcPr>
            <w:tcW w:w="405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  <w:lang w:bidi="ar"/>
              </w:rPr>
              <w:t>学分</w:t>
            </w:r>
          </w:p>
        </w:tc>
        <w:tc>
          <w:tcPr>
            <w:tcW w:w="397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  <w:lang w:bidi="ar"/>
              </w:rPr>
              <w:t>课时</w:t>
            </w:r>
          </w:p>
        </w:tc>
        <w:tc>
          <w:tcPr>
            <w:tcW w:w="447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  <w:lang w:bidi="ar"/>
              </w:rPr>
              <w:t>开课学期</w:t>
            </w:r>
          </w:p>
        </w:tc>
        <w:tc>
          <w:tcPr>
            <w:tcW w:w="447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  <w:lang w:bidi="ar"/>
              </w:rPr>
              <w:t>考核方式</w:t>
            </w:r>
          </w:p>
        </w:tc>
        <w:tc>
          <w:tcPr>
            <w:tcW w:w="966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  <w:lang w:bidi="ar"/>
              </w:rPr>
              <w:t>备注</w:t>
            </w:r>
          </w:p>
        </w:tc>
      </w:tr>
      <w:tr w:rsidR="006A0F62">
        <w:trPr>
          <w:trHeight w:val="521"/>
          <w:jc w:val="center"/>
        </w:trPr>
        <w:tc>
          <w:tcPr>
            <w:tcW w:w="730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公共必修课</w:t>
            </w:r>
          </w:p>
        </w:tc>
        <w:tc>
          <w:tcPr>
            <w:tcW w:w="630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000S1131</w:t>
            </w:r>
          </w:p>
        </w:tc>
        <w:tc>
          <w:tcPr>
            <w:tcW w:w="975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新时代中国特色社会主义理论与实践</w:t>
            </w:r>
          </w:p>
        </w:tc>
        <w:tc>
          <w:tcPr>
            <w:tcW w:w="405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2</w:t>
            </w:r>
          </w:p>
        </w:tc>
        <w:tc>
          <w:tcPr>
            <w:tcW w:w="397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36</w:t>
            </w:r>
          </w:p>
        </w:tc>
        <w:tc>
          <w:tcPr>
            <w:tcW w:w="447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</w:t>
            </w:r>
          </w:p>
        </w:tc>
        <w:tc>
          <w:tcPr>
            <w:tcW w:w="447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考试</w:t>
            </w:r>
          </w:p>
        </w:tc>
        <w:tc>
          <w:tcPr>
            <w:tcW w:w="966" w:type="pct"/>
            <w:vAlign w:val="center"/>
          </w:tcPr>
          <w:p w:rsidR="006A0F62" w:rsidRDefault="006A0F62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</w:tr>
      <w:tr w:rsidR="006A0F62">
        <w:trPr>
          <w:trHeight w:val="521"/>
          <w:jc w:val="center"/>
        </w:trPr>
        <w:tc>
          <w:tcPr>
            <w:tcW w:w="730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公共必修课</w:t>
            </w:r>
          </w:p>
        </w:tc>
        <w:tc>
          <w:tcPr>
            <w:tcW w:w="630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000S1112</w:t>
            </w:r>
          </w:p>
        </w:tc>
        <w:tc>
          <w:tcPr>
            <w:tcW w:w="975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马克思主义与社会科学方法论</w:t>
            </w:r>
          </w:p>
        </w:tc>
        <w:tc>
          <w:tcPr>
            <w:tcW w:w="405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</w:t>
            </w:r>
          </w:p>
        </w:tc>
        <w:tc>
          <w:tcPr>
            <w:tcW w:w="397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18</w:t>
            </w:r>
          </w:p>
        </w:tc>
        <w:tc>
          <w:tcPr>
            <w:tcW w:w="447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2</w:t>
            </w:r>
          </w:p>
        </w:tc>
        <w:tc>
          <w:tcPr>
            <w:tcW w:w="447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考试</w:t>
            </w:r>
          </w:p>
        </w:tc>
        <w:tc>
          <w:tcPr>
            <w:tcW w:w="966" w:type="pct"/>
            <w:vAlign w:val="center"/>
          </w:tcPr>
          <w:p w:rsidR="006A0F62" w:rsidRDefault="006A0F62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</w:tr>
      <w:tr w:rsidR="006A0F62">
        <w:trPr>
          <w:trHeight w:val="521"/>
          <w:jc w:val="center"/>
        </w:trPr>
        <w:tc>
          <w:tcPr>
            <w:tcW w:w="730" w:type="pct"/>
            <w:vAlign w:val="center"/>
          </w:tcPr>
          <w:p w:rsidR="006A0F62" w:rsidRDefault="00B2158F" w:rsidP="003E4049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公共</w:t>
            </w:r>
            <w:r w:rsidR="003E4049"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必修</w:t>
            </w: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课</w:t>
            </w:r>
          </w:p>
        </w:tc>
        <w:tc>
          <w:tcPr>
            <w:tcW w:w="630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000S1101</w:t>
            </w:r>
          </w:p>
        </w:tc>
        <w:tc>
          <w:tcPr>
            <w:tcW w:w="975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硕士英语（一）</w:t>
            </w:r>
          </w:p>
        </w:tc>
        <w:tc>
          <w:tcPr>
            <w:tcW w:w="405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2</w:t>
            </w:r>
          </w:p>
        </w:tc>
        <w:tc>
          <w:tcPr>
            <w:tcW w:w="397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36</w:t>
            </w:r>
          </w:p>
        </w:tc>
        <w:tc>
          <w:tcPr>
            <w:tcW w:w="447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</w:t>
            </w:r>
          </w:p>
        </w:tc>
        <w:tc>
          <w:tcPr>
            <w:tcW w:w="447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考试</w:t>
            </w:r>
          </w:p>
        </w:tc>
        <w:tc>
          <w:tcPr>
            <w:tcW w:w="966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符合相关规定可申请免修</w:t>
            </w:r>
          </w:p>
        </w:tc>
      </w:tr>
      <w:tr w:rsidR="006A0F62">
        <w:trPr>
          <w:trHeight w:val="521"/>
          <w:jc w:val="center"/>
        </w:trPr>
        <w:tc>
          <w:tcPr>
            <w:tcW w:w="730" w:type="pct"/>
            <w:vAlign w:val="center"/>
          </w:tcPr>
          <w:p w:rsidR="006A0F62" w:rsidRDefault="00B2158F" w:rsidP="003E4049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公共</w:t>
            </w:r>
            <w:r w:rsidR="003E4049"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必修</w:t>
            </w:r>
            <w:bookmarkStart w:id="1" w:name="_GoBack"/>
            <w:bookmarkEnd w:id="1"/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课</w:t>
            </w:r>
          </w:p>
        </w:tc>
        <w:tc>
          <w:tcPr>
            <w:tcW w:w="630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000S1102</w:t>
            </w:r>
          </w:p>
        </w:tc>
        <w:tc>
          <w:tcPr>
            <w:tcW w:w="975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硕士英语（二）</w:t>
            </w:r>
          </w:p>
        </w:tc>
        <w:tc>
          <w:tcPr>
            <w:tcW w:w="405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2</w:t>
            </w:r>
          </w:p>
        </w:tc>
        <w:tc>
          <w:tcPr>
            <w:tcW w:w="397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36</w:t>
            </w:r>
          </w:p>
        </w:tc>
        <w:tc>
          <w:tcPr>
            <w:tcW w:w="447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2</w:t>
            </w:r>
          </w:p>
        </w:tc>
        <w:tc>
          <w:tcPr>
            <w:tcW w:w="447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考试</w:t>
            </w:r>
          </w:p>
        </w:tc>
        <w:tc>
          <w:tcPr>
            <w:tcW w:w="966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符合相关规定可</w:t>
            </w: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lastRenderedPageBreak/>
              <w:t>申请免修</w:t>
            </w:r>
          </w:p>
        </w:tc>
      </w:tr>
      <w:tr w:rsidR="006A0F62">
        <w:trPr>
          <w:trHeight w:val="521"/>
          <w:jc w:val="center"/>
        </w:trPr>
        <w:tc>
          <w:tcPr>
            <w:tcW w:w="730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bCs/>
                <w:sz w:val="22"/>
                <w:szCs w:val="22"/>
                <w:lang w:bidi="ar"/>
              </w:rPr>
              <w:lastRenderedPageBreak/>
              <w:t>公共选修课</w:t>
            </w:r>
          </w:p>
        </w:tc>
        <w:tc>
          <w:tcPr>
            <w:tcW w:w="630" w:type="pct"/>
            <w:vAlign w:val="center"/>
          </w:tcPr>
          <w:p w:rsidR="006A0F62" w:rsidRDefault="006A0F62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975" w:type="pct"/>
            <w:vAlign w:val="center"/>
          </w:tcPr>
          <w:p w:rsidR="006A0F62" w:rsidRDefault="006A0F62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405" w:type="pct"/>
            <w:vAlign w:val="center"/>
          </w:tcPr>
          <w:p w:rsidR="006A0F62" w:rsidRDefault="006A0F62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397" w:type="pct"/>
            <w:vAlign w:val="center"/>
          </w:tcPr>
          <w:p w:rsidR="006A0F62" w:rsidRDefault="006A0F62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447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1-2</w:t>
            </w:r>
          </w:p>
        </w:tc>
        <w:tc>
          <w:tcPr>
            <w:tcW w:w="447" w:type="pct"/>
            <w:vAlign w:val="center"/>
          </w:tcPr>
          <w:p w:rsidR="006A0F62" w:rsidRDefault="006A0F62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966" w:type="pct"/>
            <w:vAlign w:val="center"/>
          </w:tcPr>
          <w:p w:rsidR="006A0F62" w:rsidRDefault="006A0F62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</w:tr>
      <w:tr w:rsidR="006A0F62">
        <w:trPr>
          <w:trHeight w:val="521"/>
          <w:jc w:val="center"/>
        </w:trPr>
        <w:tc>
          <w:tcPr>
            <w:tcW w:w="730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bCs/>
                <w:sz w:val="22"/>
                <w:szCs w:val="22"/>
                <w:lang w:bidi="ar"/>
              </w:rPr>
              <w:t>专业必修课</w:t>
            </w:r>
          </w:p>
        </w:tc>
        <w:tc>
          <w:tcPr>
            <w:tcW w:w="630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016S2127</w:t>
            </w:r>
          </w:p>
        </w:tc>
        <w:tc>
          <w:tcPr>
            <w:tcW w:w="975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化工科技论文写作方法</w:t>
            </w:r>
          </w:p>
        </w:tc>
        <w:tc>
          <w:tcPr>
            <w:tcW w:w="405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</w:t>
            </w:r>
          </w:p>
        </w:tc>
        <w:tc>
          <w:tcPr>
            <w:tcW w:w="397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18</w:t>
            </w:r>
          </w:p>
        </w:tc>
        <w:tc>
          <w:tcPr>
            <w:tcW w:w="447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</w:t>
            </w:r>
          </w:p>
        </w:tc>
        <w:tc>
          <w:tcPr>
            <w:tcW w:w="447" w:type="pct"/>
            <w:vAlign w:val="center"/>
          </w:tcPr>
          <w:p w:rsidR="006A0F62" w:rsidRDefault="006A0F62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966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全体必修课</w:t>
            </w:r>
          </w:p>
        </w:tc>
      </w:tr>
      <w:tr w:rsidR="006A0F62">
        <w:trPr>
          <w:trHeight w:val="521"/>
          <w:jc w:val="center"/>
        </w:trPr>
        <w:tc>
          <w:tcPr>
            <w:tcW w:w="730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bCs/>
                <w:sz w:val="22"/>
                <w:szCs w:val="22"/>
                <w:lang w:bidi="ar"/>
              </w:rPr>
              <w:t>专业必修课</w:t>
            </w:r>
          </w:p>
        </w:tc>
        <w:tc>
          <w:tcPr>
            <w:tcW w:w="630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016S2128</w:t>
            </w:r>
          </w:p>
        </w:tc>
        <w:tc>
          <w:tcPr>
            <w:tcW w:w="975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材料结构与性能分析</w:t>
            </w:r>
          </w:p>
        </w:tc>
        <w:tc>
          <w:tcPr>
            <w:tcW w:w="405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2</w:t>
            </w:r>
          </w:p>
        </w:tc>
        <w:tc>
          <w:tcPr>
            <w:tcW w:w="397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36</w:t>
            </w:r>
          </w:p>
        </w:tc>
        <w:tc>
          <w:tcPr>
            <w:tcW w:w="447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</w:t>
            </w:r>
          </w:p>
        </w:tc>
        <w:tc>
          <w:tcPr>
            <w:tcW w:w="447" w:type="pct"/>
            <w:vAlign w:val="center"/>
          </w:tcPr>
          <w:p w:rsidR="006A0F62" w:rsidRDefault="006A0F62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966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研究方法类</w:t>
            </w:r>
            <w:r w:rsidR="00A923BE"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/必选课</w:t>
            </w:r>
          </w:p>
        </w:tc>
      </w:tr>
      <w:tr w:rsidR="006A0F62">
        <w:trPr>
          <w:trHeight w:val="521"/>
          <w:jc w:val="center"/>
        </w:trPr>
        <w:tc>
          <w:tcPr>
            <w:tcW w:w="730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bCs/>
                <w:sz w:val="22"/>
                <w:szCs w:val="22"/>
                <w:lang w:bidi="ar"/>
              </w:rPr>
              <w:t>专业必修课</w:t>
            </w:r>
          </w:p>
        </w:tc>
        <w:tc>
          <w:tcPr>
            <w:tcW w:w="630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016S2109</w:t>
            </w:r>
          </w:p>
        </w:tc>
        <w:tc>
          <w:tcPr>
            <w:tcW w:w="975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化学工艺学</w:t>
            </w:r>
          </w:p>
        </w:tc>
        <w:tc>
          <w:tcPr>
            <w:tcW w:w="405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2</w:t>
            </w:r>
          </w:p>
        </w:tc>
        <w:tc>
          <w:tcPr>
            <w:tcW w:w="397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36</w:t>
            </w:r>
          </w:p>
        </w:tc>
        <w:tc>
          <w:tcPr>
            <w:tcW w:w="447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</w:t>
            </w:r>
          </w:p>
        </w:tc>
        <w:tc>
          <w:tcPr>
            <w:tcW w:w="447" w:type="pct"/>
            <w:vAlign w:val="center"/>
          </w:tcPr>
          <w:p w:rsidR="006A0F62" w:rsidRDefault="006A0F62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966" w:type="pct"/>
            <w:vAlign w:val="center"/>
          </w:tcPr>
          <w:p w:rsidR="006A0F62" w:rsidRDefault="006A0F62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</w:tr>
      <w:tr w:rsidR="006A0F62">
        <w:trPr>
          <w:trHeight w:val="521"/>
          <w:jc w:val="center"/>
        </w:trPr>
        <w:tc>
          <w:tcPr>
            <w:tcW w:w="730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bCs/>
                <w:sz w:val="22"/>
                <w:szCs w:val="22"/>
                <w:lang w:bidi="ar"/>
              </w:rPr>
              <w:t>专业必修课</w:t>
            </w:r>
          </w:p>
        </w:tc>
        <w:tc>
          <w:tcPr>
            <w:tcW w:w="630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016S2110</w:t>
            </w:r>
          </w:p>
        </w:tc>
        <w:tc>
          <w:tcPr>
            <w:tcW w:w="975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化学反应工程</w:t>
            </w:r>
          </w:p>
        </w:tc>
        <w:tc>
          <w:tcPr>
            <w:tcW w:w="405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2</w:t>
            </w:r>
          </w:p>
        </w:tc>
        <w:tc>
          <w:tcPr>
            <w:tcW w:w="397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36</w:t>
            </w:r>
          </w:p>
        </w:tc>
        <w:tc>
          <w:tcPr>
            <w:tcW w:w="447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</w:t>
            </w:r>
          </w:p>
        </w:tc>
        <w:tc>
          <w:tcPr>
            <w:tcW w:w="447" w:type="pct"/>
            <w:vAlign w:val="center"/>
          </w:tcPr>
          <w:p w:rsidR="006A0F62" w:rsidRDefault="006A0F62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966" w:type="pct"/>
            <w:vAlign w:val="center"/>
          </w:tcPr>
          <w:p w:rsidR="006A0F62" w:rsidRDefault="006A0F62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</w:tr>
      <w:tr w:rsidR="006A0F62">
        <w:trPr>
          <w:trHeight w:val="521"/>
          <w:jc w:val="center"/>
        </w:trPr>
        <w:tc>
          <w:tcPr>
            <w:tcW w:w="730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bCs/>
                <w:sz w:val="22"/>
                <w:szCs w:val="22"/>
                <w:lang w:bidi="ar"/>
              </w:rPr>
              <w:t>专业必修课</w:t>
            </w:r>
          </w:p>
        </w:tc>
        <w:tc>
          <w:tcPr>
            <w:tcW w:w="630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016S2129</w:t>
            </w:r>
          </w:p>
        </w:tc>
        <w:tc>
          <w:tcPr>
            <w:tcW w:w="975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工业催化技术</w:t>
            </w:r>
          </w:p>
        </w:tc>
        <w:tc>
          <w:tcPr>
            <w:tcW w:w="405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2</w:t>
            </w:r>
          </w:p>
        </w:tc>
        <w:tc>
          <w:tcPr>
            <w:tcW w:w="397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36</w:t>
            </w:r>
          </w:p>
        </w:tc>
        <w:tc>
          <w:tcPr>
            <w:tcW w:w="447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</w:t>
            </w:r>
          </w:p>
        </w:tc>
        <w:tc>
          <w:tcPr>
            <w:tcW w:w="447" w:type="pct"/>
            <w:vAlign w:val="center"/>
          </w:tcPr>
          <w:p w:rsidR="006A0F62" w:rsidRDefault="006A0F62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966" w:type="pct"/>
            <w:vAlign w:val="center"/>
          </w:tcPr>
          <w:p w:rsidR="006A0F62" w:rsidRDefault="006A0F62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</w:tr>
      <w:tr w:rsidR="006A0F62">
        <w:trPr>
          <w:trHeight w:val="521"/>
          <w:jc w:val="center"/>
        </w:trPr>
        <w:tc>
          <w:tcPr>
            <w:tcW w:w="730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专业选修课</w:t>
            </w:r>
          </w:p>
        </w:tc>
        <w:tc>
          <w:tcPr>
            <w:tcW w:w="630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T16S3239</w:t>
            </w:r>
          </w:p>
        </w:tc>
        <w:tc>
          <w:tcPr>
            <w:tcW w:w="975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体育类课程</w:t>
            </w:r>
          </w:p>
        </w:tc>
        <w:tc>
          <w:tcPr>
            <w:tcW w:w="405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</w:t>
            </w:r>
          </w:p>
        </w:tc>
        <w:tc>
          <w:tcPr>
            <w:tcW w:w="397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18</w:t>
            </w:r>
          </w:p>
        </w:tc>
        <w:tc>
          <w:tcPr>
            <w:tcW w:w="447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1-3</w:t>
            </w:r>
          </w:p>
        </w:tc>
        <w:tc>
          <w:tcPr>
            <w:tcW w:w="447" w:type="pct"/>
            <w:vAlign w:val="center"/>
          </w:tcPr>
          <w:p w:rsidR="006A0F62" w:rsidRDefault="006A0F62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966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必选</w:t>
            </w:r>
          </w:p>
        </w:tc>
      </w:tr>
      <w:tr w:rsidR="006A0F62">
        <w:trPr>
          <w:trHeight w:val="521"/>
          <w:jc w:val="center"/>
        </w:trPr>
        <w:tc>
          <w:tcPr>
            <w:tcW w:w="730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专业选修课</w:t>
            </w:r>
          </w:p>
        </w:tc>
        <w:tc>
          <w:tcPr>
            <w:tcW w:w="630" w:type="pct"/>
            <w:vAlign w:val="center"/>
          </w:tcPr>
          <w:p w:rsidR="006A0F62" w:rsidRDefault="006A0F62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975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公共艺术类课程</w:t>
            </w:r>
          </w:p>
        </w:tc>
        <w:tc>
          <w:tcPr>
            <w:tcW w:w="405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2</w:t>
            </w:r>
          </w:p>
        </w:tc>
        <w:tc>
          <w:tcPr>
            <w:tcW w:w="397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36</w:t>
            </w:r>
          </w:p>
        </w:tc>
        <w:tc>
          <w:tcPr>
            <w:tcW w:w="447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1-2</w:t>
            </w:r>
          </w:p>
        </w:tc>
        <w:tc>
          <w:tcPr>
            <w:tcW w:w="447" w:type="pct"/>
            <w:vAlign w:val="center"/>
          </w:tcPr>
          <w:p w:rsidR="006A0F62" w:rsidRDefault="006A0F62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966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必选</w:t>
            </w:r>
          </w:p>
        </w:tc>
      </w:tr>
      <w:tr w:rsidR="006A0F62">
        <w:trPr>
          <w:trHeight w:val="521"/>
          <w:jc w:val="center"/>
        </w:trPr>
        <w:tc>
          <w:tcPr>
            <w:tcW w:w="730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专业选修课</w:t>
            </w:r>
          </w:p>
        </w:tc>
        <w:tc>
          <w:tcPr>
            <w:tcW w:w="630" w:type="pct"/>
            <w:vAlign w:val="center"/>
          </w:tcPr>
          <w:p w:rsidR="006A0F62" w:rsidRDefault="00B2158F" w:rsidP="004253A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016S323</w:t>
            </w:r>
            <w:r w:rsidR="004253AF"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8</w:t>
            </w:r>
          </w:p>
        </w:tc>
        <w:tc>
          <w:tcPr>
            <w:tcW w:w="975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多相催化研究中的色谱技术</w:t>
            </w:r>
          </w:p>
        </w:tc>
        <w:tc>
          <w:tcPr>
            <w:tcW w:w="405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2</w:t>
            </w:r>
          </w:p>
        </w:tc>
        <w:tc>
          <w:tcPr>
            <w:tcW w:w="397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36</w:t>
            </w:r>
          </w:p>
        </w:tc>
        <w:tc>
          <w:tcPr>
            <w:tcW w:w="447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</w:t>
            </w:r>
          </w:p>
        </w:tc>
        <w:tc>
          <w:tcPr>
            <w:tcW w:w="447" w:type="pct"/>
            <w:vAlign w:val="center"/>
          </w:tcPr>
          <w:p w:rsidR="006A0F62" w:rsidRDefault="006A0F62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966" w:type="pct"/>
            <w:vAlign w:val="center"/>
          </w:tcPr>
          <w:p w:rsidR="006A0F62" w:rsidRDefault="006A0F62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</w:tr>
      <w:tr w:rsidR="006A0F62">
        <w:trPr>
          <w:trHeight w:val="521"/>
          <w:jc w:val="center"/>
        </w:trPr>
        <w:tc>
          <w:tcPr>
            <w:tcW w:w="730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专业选修课</w:t>
            </w:r>
          </w:p>
        </w:tc>
        <w:tc>
          <w:tcPr>
            <w:tcW w:w="630" w:type="pct"/>
            <w:vAlign w:val="center"/>
          </w:tcPr>
          <w:p w:rsidR="006A0F62" w:rsidRDefault="00B2158F" w:rsidP="004253A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016S323</w:t>
            </w:r>
            <w:r w:rsidR="004253AF"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9</w:t>
            </w:r>
          </w:p>
        </w:tc>
        <w:tc>
          <w:tcPr>
            <w:tcW w:w="975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 xml:space="preserve">催化剂设计与制备 </w:t>
            </w:r>
          </w:p>
        </w:tc>
        <w:tc>
          <w:tcPr>
            <w:tcW w:w="405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2</w:t>
            </w:r>
          </w:p>
        </w:tc>
        <w:tc>
          <w:tcPr>
            <w:tcW w:w="397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36</w:t>
            </w:r>
          </w:p>
        </w:tc>
        <w:tc>
          <w:tcPr>
            <w:tcW w:w="447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1</w:t>
            </w:r>
          </w:p>
        </w:tc>
        <w:tc>
          <w:tcPr>
            <w:tcW w:w="447" w:type="pct"/>
            <w:vAlign w:val="center"/>
          </w:tcPr>
          <w:p w:rsidR="006A0F62" w:rsidRDefault="006A0F62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966" w:type="pct"/>
            <w:vAlign w:val="center"/>
          </w:tcPr>
          <w:p w:rsidR="006A0F62" w:rsidRDefault="006A0F62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</w:tr>
      <w:tr w:rsidR="006A0F62">
        <w:trPr>
          <w:trHeight w:val="521"/>
          <w:jc w:val="center"/>
        </w:trPr>
        <w:tc>
          <w:tcPr>
            <w:tcW w:w="730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专业选修课</w:t>
            </w:r>
          </w:p>
        </w:tc>
        <w:tc>
          <w:tcPr>
            <w:tcW w:w="630" w:type="pct"/>
            <w:vAlign w:val="center"/>
          </w:tcPr>
          <w:p w:rsidR="006A0F62" w:rsidRDefault="006A0F62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975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国内外高水平大学MOOC课程</w:t>
            </w:r>
          </w:p>
        </w:tc>
        <w:tc>
          <w:tcPr>
            <w:tcW w:w="405" w:type="pct"/>
            <w:vAlign w:val="center"/>
          </w:tcPr>
          <w:p w:rsidR="006A0F62" w:rsidRDefault="006A0F62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397" w:type="pct"/>
            <w:vAlign w:val="center"/>
          </w:tcPr>
          <w:p w:rsidR="006A0F62" w:rsidRDefault="006A0F62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447" w:type="pct"/>
            <w:vAlign w:val="center"/>
          </w:tcPr>
          <w:p w:rsidR="006A0F62" w:rsidRDefault="006A0F62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447" w:type="pct"/>
            <w:vAlign w:val="center"/>
          </w:tcPr>
          <w:p w:rsidR="006A0F62" w:rsidRDefault="006A0F62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</w:p>
        </w:tc>
        <w:tc>
          <w:tcPr>
            <w:tcW w:w="966" w:type="pct"/>
            <w:vAlign w:val="center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center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课程在导师指导下选修，获结业证书者由学院审定学分</w:t>
            </w:r>
          </w:p>
        </w:tc>
      </w:tr>
      <w:tr w:rsidR="006A0F62">
        <w:trPr>
          <w:trHeight w:val="521"/>
          <w:jc w:val="center"/>
        </w:trPr>
        <w:tc>
          <w:tcPr>
            <w:tcW w:w="730" w:type="pct"/>
            <w:vAlign w:val="center"/>
          </w:tcPr>
          <w:p w:rsidR="006A0F62" w:rsidRDefault="00B2158F">
            <w:pPr>
              <w:spacing w:line="520" w:lineRule="exact"/>
              <w:jc w:val="center"/>
              <w:outlineLvl w:val="1"/>
              <w:rPr>
                <w:rFonts w:ascii="宋体" w:eastAsia="宋体" w:hAnsi="宋体" w:cs="宋体"/>
                <w:bCs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lang w:bidi="ar"/>
              </w:rPr>
              <w:t>其他要求</w:t>
            </w:r>
          </w:p>
        </w:tc>
        <w:tc>
          <w:tcPr>
            <w:tcW w:w="4269" w:type="pct"/>
            <w:gridSpan w:val="7"/>
          </w:tcPr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both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在化学工程与技术学科以外其他学科至少选修1学分课程；</w:t>
            </w:r>
          </w:p>
          <w:p w:rsidR="006A0F62" w:rsidRDefault="00B2158F">
            <w:pPr>
              <w:pStyle w:val="a5"/>
              <w:widowControl/>
              <w:spacing w:beforeAutospacing="0" w:afterAutospacing="0" w:line="520" w:lineRule="exact"/>
              <w:jc w:val="both"/>
              <w:outlineLvl w:val="1"/>
              <w:rPr>
                <w:rFonts w:ascii="宋体" w:hAnsi="宋体" w:cs="宋体"/>
                <w:bCs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  <w:lang w:bidi="ar"/>
              </w:rPr>
              <w:t>选修多门跨学科课程的，可按专业选修课认定学分。</w:t>
            </w:r>
          </w:p>
        </w:tc>
      </w:tr>
    </w:tbl>
    <w:p w:rsidR="006A0F62" w:rsidRDefault="00B2158F">
      <w:pPr>
        <w:widowControl w:val="0"/>
        <w:numPr>
          <w:ilvl w:val="0"/>
          <w:numId w:val="2"/>
        </w:numPr>
        <w:adjustRightInd/>
        <w:spacing w:after="0" w:line="560" w:lineRule="exact"/>
        <w:ind w:firstLineChars="200" w:firstLine="632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kern w:val="2"/>
          <w:sz w:val="32"/>
          <w:szCs w:val="32"/>
        </w:rPr>
        <w:t>实践环节</w:t>
      </w:r>
      <w:r w:rsidR="008A3704">
        <w:rPr>
          <w:rFonts w:ascii="黑体" w:eastAsia="黑体" w:hAnsi="黑体" w:cs="Times New Roman" w:hint="eastAsia"/>
          <w:kern w:val="2"/>
          <w:sz w:val="32"/>
          <w:szCs w:val="32"/>
        </w:rPr>
        <w:t>（</w:t>
      </w:r>
      <w:proofErr w:type="gramStart"/>
      <w:r w:rsidR="008A3704">
        <w:rPr>
          <w:rFonts w:ascii="黑体" w:eastAsia="黑体" w:hAnsi="黑体" w:cs="Times New Roman" w:hint="eastAsia"/>
          <w:kern w:val="2"/>
          <w:sz w:val="32"/>
          <w:szCs w:val="32"/>
        </w:rPr>
        <w:t>含劳动</w:t>
      </w:r>
      <w:proofErr w:type="gramEnd"/>
      <w:r w:rsidR="008A3704">
        <w:rPr>
          <w:rFonts w:ascii="黑体" w:eastAsia="黑体" w:hAnsi="黑体" w:cs="Times New Roman" w:hint="eastAsia"/>
          <w:kern w:val="2"/>
          <w:sz w:val="32"/>
          <w:szCs w:val="32"/>
        </w:rPr>
        <w:t>教育）</w:t>
      </w:r>
    </w:p>
    <w:p w:rsidR="006A0F62" w:rsidRDefault="00B2158F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>硕士研究生参加助研助管助教、勤工俭学、“三下乡”、专业特色活动、专业实践、社会实践、“互联网+”“挑战杯”等</w:t>
      </w: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lastRenderedPageBreak/>
        <w:t>创新创业活动、竞赛、各类学术会议志愿者等劳动教育实践活动。</w:t>
      </w: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ab/>
      </w:r>
    </w:p>
    <w:p w:rsidR="006A0F62" w:rsidRDefault="00B2158F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>第一至四学期进行；具体考核办法按照《化学化工学院劳动实践考核办法》实施；提交《研究生实践考核表》，考核通过计1学分。</w:t>
      </w:r>
    </w:p>
    <w:p w:rsidR="006A0F62" w:rsidRDefault="00B2158F">
      <w:pPr>
        <w:widowControl w:val="0"/>
        <w:numPr>
          <w:ilvl w:val="0"/>
          <w:numId w:val="2"/>
        </w:numPr>
        <w:adjustRightInd/>
        <w:spacing w:after="0" w:line="560" w:lineRule="exact"/>
        <w:ind w:firstLineChars="200" w:firstLine="632"/>
        <w:jc w:val="both"/>
        <w:rPr>
          <w:rFonts w:ascii="黑体" w:eastAsia="黑体" w:hAnsi="黑体" w:cs="Times New Roman"/>
          <w:bCs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Cs/>
          <w:kern w:val="2"/>
          <w:sz w:val="32"/>
          <w:szCs w:val="32"/>
        </w:rPr>
        <w:t>学术交流</w:t>
      </w:r>
    </w:p>
    <w:p w:rsidR="006A0F62" w:rsidRDefault="00B2158F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>研究生必须在所在二级学科学术论坛做学术报告1次；研究生参加学院或学校组织相关学术讲座不少于20次；研究生在读期间，至少参加国内或国际学术会议1次。具体管理办法详见《陕西师范大学化学化工学院研究生学术活动规定》</w:t>
      </w:r>
    </w:p>
    <w:p w:rsidR="006A0F62" w:rsidRDefault="00B2158F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ab/>
        <w:t>第一至四学期进行；此环节为必修环节；考核合格后计2学分。</w:t>
      </w:r>
    </w:p>
    <w:p w:rsidR="006A0F62" w:rsidRDefault="00B2158F">
      <w:pPr>
        <w:widowControl w:val="0"/>
        <w:numPr>
          <w:ilvl w:val="0"/>
          <w:numId w:val="2"/>
        </w:numPr>
        <w:adjustRightInd/>
        <w:spacing w:after="0" w:line="560" w:lineRule="exact"/>
        <w:ind w:firstLineChars="200" w:firstLine="632"/>
        <w:jc w:val="both"/>
        <w:rPr>
          <w:rFonts w:ascii="黑体" w:eastAsia="黑体" w:hAnsi="黑体" w:cs="Times New Roman"/>
          <w:bCs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Cs/>
          <w:kern w:val="2"/>
          <w:sz w:val="32"/>
          <w:szCs w:val="32"/>
        </w:rPr>
        <w:t>开题报告</w:t>
      </w:r>
    </w:p>
    <w:p w:rsidR="006A0F62" w:rsidRDefault="00B2158F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>开题报告是研究生学位论文工作的重要环节，是保证学位论文进度和质量的前提。具体内容及要求详见《陕西师范大学化学化工学院关于研究生学位论文开题报告的规定》</w:t>
      </w: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ab/>
      </w:r>
    </w:p>
    <w:p w:rsidR="006A0F62" w:rsidRDefault="00B2158F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>第二学期6-8月进行；此环节为必修环节；开题报告评审通过计1学分。</w:t>
      </w:r>
    </w:p>
    <w:p w:rsidR="006A0F62" w:rsidRDefault="00B2158F">
      <w:pPr>
        <w:widowControl w:val="0"/>
        <w:numPr>
          <w:ilvl w:val="0"/>
          <w:numId w:val="2"/>
        </w:numPr>
        <w:adjustRightInd/>
        <w:spacing w:after="0" w:line="560" w:lineRule="exact"/>
        <w:ind w:firstLineChars="200" w:firstLine="632"/>
        <w:jc w:val="both"/>
        <w:rPr>
          <w:rFonts w:ascii="黑体" w:eastAsia="黑体" w:hAnsi="黑体" w:cs="Times New Roman"/>
          <w:bCs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Cs/>
          <w:kern w:val="2"/>
          <w:sz w:val="32"/>
          <w:szCs w:val="32"/>
        </w:rPr>
        <w:t>中期考核</w:t>
      </w:r>
    </w:p>
    <w:p w:rsidR="006A0F62" w:rsidRDefault="00B2158F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>硕士研究生需在完成开题报告半年内进行中期考核。具体管理办法详见《陕西师范大学化学化工学院研究生中期考核相关规定》</w:t>
      </w: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ab/>
      </w:r>
    </w:p>
    <w:p w:rsidR="006A0F62" w:rsidRDefault="00B2158F">
      <w:pPr>
        <w:widowControl w:val="0"/>
        <w:adjustRightInd/>
        <w:spacing w:after="0" w:line="560" w:lineRule="exact"/>
        <w:ind w:firstLineChars="200" w:firstLine="632"/>
        <w:jc w:val="both"/>
        <w:rPr>
          <w:rFonts w:ascii="黑体" w:eastAsia="黑体" w:hAnsi="黑体" w:cs="Times New Roman"/>
          <w:bCs/>
          <w:kern w:val="2"/>
          <w:sz w:val="32"/>
          <w:szCs w:val="32"/>
        </w:rPr>
      </w:pP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lastRenderedPageBreak/>
        <w:t>第三学期11-12月进行；此环节为必修环节；中期考核通过计1学分。</w:t>
      </w:r>
    </w:p>
    <w:p w:rsidR="006A0F62" w:rsidRDefault="00B2158F">
      <w:pPr>
        <w:widowControl w:val="0"/>
        <w:numPr>
          <w:ilvl w:val="0"/>
          <w:numId w:val="2"/>
        </w:numPr>
        <w:adjustRightInd/>
        <w:spacing w:after="0" w:line="560" w:lineRule="exact"/>
        <w:ind w:firstLineChars="200" w:firstLine="632"/>
        <w:jc w:val="both"/>
        <w:rPr>
          <w:rFonts w:ascii="黑体" w:eastAsia="黑体" w:hAnsi="黑体" w:cs="Times New Roman"/>
          <w:bCs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Cs/>
          <w:kern w:val="2"/>
          <w:sz w:val="32"/>
          <w:szCs w:val="32"/>
        </w:rPr>
        <w:t>预审读</w:t>
      </w:r>
    </w:p>
    <w:p w:rsidR="006A0F62" w:rsidRDefault="00B2158F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>硕士学位论文的预审</w:t>
      </w:r>
      <w:proofErr w:type="gramStart"/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>读工作</w:t>
      </w:r>
      <w:proofErr w:type="gramEnd"/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>是在完成所有预定的论文工作内容和学位论文初稿撰写之后，在论文正式提交评阅之前进行的审查过程。负责预审读的教师应针对论文中存在的问题提出修改意见，填写《陕西师范大学硕士学位论文预审读简表》。</w:t>
      </w: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ab/>
        <w:t>第五学期11-12月进行；预审读通过论文方可参加送审；预审读通过计1学分。</w:t>
      </w:r>
    </w:p>
    <w:p w:rsidR="006A0F62" w:rsidRDefault="00B2158F">
      <w:pPr>
        <w:widowControl w:val="0"/>
        <w:numPr>
          <w:ilvl w:val="0"/>
          <w:numId w:val="2"/>
        </w:numPr>
        <w:adjustRightInd/>
        <w:spacing w:after="0" w:line="560" w:lineRule="exact"/>
        <w:ind w:firstLineChars="200" w:firstLine="632"/>
        <w:jc w:val="both"/>
        <w:rPr>
          <w:rFonts w:ascii="黑体" w:eastAsia="黑体" w:hAnsi="黑体" w:cs="Times New Roman"/>
          <w:bCs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Cs/>
          <w:kern w:val="2"/>
          <w:sz w:val="32"/>
          <w:szCs w:val="32"/>
        </w:rPr>
        <w:t>学位论文答辩</w:t>
      </w:r>
    </w:p>
    <w:p w:rsidR="006A0F62" w:rsidRDefault="00B2158F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>学位论文答辩申请及答辩要求按学校及学院有关规定执行。</w:t>
      </w:r>
    </w:p>
    <w:p w:rsidR="006A0F62" w:rsidRDefault="00B2158F">
      <w:pPr>
        <w:widowControl w:val="0"/>
        <w:numPr>
          <w:ilvl w:val="0"/>
          <w:numId w:val="2"/>
        </w:numPr>
        <w:adjustRightInd/>
        <w:spacing w:after="0" w:line="560" w:lineRule="exact"/>
        <w:ind w:firstLineChars="200" w:firstLine="632"/>
        <w:jc w:val="both"/>
        <w:rPr>
          <w:rFonts w:ascii="黑体" w:eastAsia="黑体" w:hAnsi="黑体" w:cs="Times New Roman"/>
          <w:bCs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Cs/>
          <w:kern w:val="2"/>
          <w:sz w:val="32"/>
          <w:szCs w:val="32"/>
        </w:rPr>
        <w:t>毕业与学位授予</w:t>
      </w:r>
    </w:p>
    <w:p w:rsidR="006A0F62" w:rsidRDefault="00B2158F">
      <w:pPr>
        <w:widowControl w:val="0"/>
        <w:adjustRightInd/>
        <w:spacing w:after="0" w:line="560" w:lineRule="exact"/>
        <w:ind w:firstLineChars="200" w:firstLine="632"/>
        <w:jc w:val="both"/>
        <w:rPr>
          <w:rFonts w:ascii="仿宋_GB2312" w:eastAsia="仿宋_GB2312" w:hAnsi="黑体" w:cs="Times New Roman"/>
          <w:kern w:val="2"/>
          <w:sz w:val="32"/>
          <w:szCs w:val="32"/>
        </w:rPr>
      </w:pP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>毕业和授予学位标准按学校及学院有关规定执行。</w:t>
      </w:r>
    </w:p>
    <w:p w:rsidR="006A0F62" w:rsidRDefault="00B2158F">
      <w:pPr>
        <w:widowControl w:val="0"/>
        <w:adjustRightInd/>
        <w:spacing w:after="0" w:line="560" w:lineRule="exact"/>
        <w:ind w:firstLineChars="200" w:firstLine="632"/>
        <w:jc w:val="both"/>
        <w:rPr>
          <w:rFonts w:ascii="黑体" w:eastAsia="黑体" w:hAnsi="黑体" w:cs="Times New Roman"/>
          <w:bCs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Cs/>
          <w:kern w:val="2"/>
          <w:sz w:val="32"/>
          <w:szCs w:val="32"/>
        </w:rPr>
        <w:t>十四、本学科主要文献、目录及刊物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3896"/>
        <w:gridCol w:w="2547"/>
        <w:gridCol w:w="1800"/>
      </w:tblGrid>
      <w:tr w:rsidR="006A0F62">
        <w:trPr>
          <w:trHeight w:val="711"/>
        </w:trPr>
        <w:tc>
          <w:tcPr>
            <w:tcW w:w="817" w:type="dxa"/>
            <w:vAlign w:val="center"/>
          </w:tcPr>
          <w:p w:rsidR="006A0F62" w:rsidRDefault="00B2158F">
            <w:pPr>
              <w:widowControl w:val="0"/>
              <w:adjustRightInd/>
              <w:spacing w:after="0" w:line="340" w:lineRule="exact"/>
              <w:rPr>
                <w:rFonts w:ascii="仿宋" w:eastAsia="仿宋" w:hAnsi="仿宋" w:cs="Times New Roman"/>
                <w:b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4"/>
                <w:szCs w:val="24"/>
              </w:rPr>
              <w:t>序号</w:t>
            </w:r>
          </w:p>
        </w:tc>
        <w:tc>
          <w:tcPr>
            <w:tcW w:w="3896" w:type="dxa"/>
            <w:vAlign w:val="center"/>
          </w:tcPr>
          <w:p w:rsidR="006A0F62" w:rsidRDefault="00B2158F">
            <w:pPr>
              <w:widowControl w:val="0"/>
              <w:adjustRightInd/>
              <w:spacing w:after="0" w:line="340" w:lineRule="exact"/>
              <w:rPr>
                <w:rFonts w:ascii="仿宋" w:eastAsia="仿宋" w:hAnsi="仿宋" w:cs="Times New Roman"/>
                <w:b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4"/>
                <w:szCs w:val="24"/>
              </w:rPr>
              <w:t>著作或期刊名称</w:t>
            </w:r>
          </w:p>
        </w:tc>
        <w:tc>
          <w:tcPr>
            <w:tcW w:w="2547" w:type="dxa"/>
            <w:vAlign w:val="center"/>
          </w:tcPr>
          <w:p w:rsidR="006A0F62" w:rsidRDefault="00B2158F">
            <w:pPr>
              <w:widowControl w:val="0"/>
              <w:adjustRightInd/>
              <w:spacing w:after="0" w:line="340" w:lineRule="exact"/>
              <w:rPr>
                <w:rFonts w:ascii="仿宋" w:eastAsia="仿宋" w:hAnsi="仿宋" w:cs="Times New Roman"/>
                <w:b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4"/>
                <w:szCs w:val="24"/>
              </w:rPr>
              <w:t>作者</w:t>
            </w:r>
          </w:p>
        </w:tc>
        <w:tc>
          <w:tcPr>
            <w:tcW w:w="1800" w:type="dxa"/>
            <w:vAlign w:val="center"/>
          </w:tcPr>
          <w:p w:rsidR="006A0F62" w:rsidRDefault="00B2158F">
            <w:pPr>
              <w:widowControl w:val="0"/>
              <w:adjustRightInd/>
              <w:spacing w:after="0" w:line="340" w:lineRule="exact"/>
              <w:rPr>
                <w:rFonts w:ascii="仿宋" w:eastAsia="仿宋" w:hAnsi="仿宋" w:cs="Times New Roman"/>
                <w:b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4"/>
                <w:szCs w:val="24"/>
              </w:rPr>
              <w:t>备注</w:t>
            </w:r>
          </w:p>
          <w:p w:rsidR="006A0F62" w:rsidRDefault="00B2158F">
            <w:pPr>
              <w:widowControl w:val="0"/>
              <w:adjustRightInd/>
              <w:spacing w:after="0" w:line="340" w:lineRule="exact"/>
              <w:rPr>
                <w:rFonts w:ascii="仿宋" w:eastAsia="仿宋" w:hAnsi="仿宋" w:cs="Times New Roman"/>
                <w:b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4"/>
                <w:szCs w:val="24"/>
              </w:rPr>
              <w:t>（选读/必读）</w:t>
            </w:r>
          </w:p>
        </w:tc>
      </w:tr>
      <w:tr w:rsidR="006A0F62">
        <w:trPr>
          <w:trHeight w:val="574"/>
        </w:trPr>
        <w:tc>
          <w:tcPr>
            <w:tcW w:w="817" w:type="dxa"/>
          </w:tcPr>
          <w:p w:rsidR="006A0F62" w:rsidRDefault="00B2158F">
            <w:pPr>
              <w:widowControl w:val="0"/>
              <w:adjustRightInd/>
              <w:spacing w:after="0" w:line="560" w:lineRule="exact"/>
              <w:jc w:val="both"/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3896" w:type="dxa"/>
            <w:vAlign w:val="center"/>
          </w:tcPr>
          <w:p w:rsidR="006A0F62" w:rsidRDefault="00B2158F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催化作用基础</w:t>
            </w:r>
          </w:p>
        </w:tc>
        <w:tc>
          <w:tcPr>
            <w:tcW w:w="2547" w:type="dxa"/>
            <w:vAlign w:val="center"/>
          </w:tcPr>
          <w:p w:rsidR="006A0F62" w:rsidRDefault="00B2158F">
            <w:pPr>
              <w:shd w:val="clear" w:color="auto" w:fill="FFFFFF"/>
              <w:spacing w:line="570" w:lineRule="atLeast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333333"/>
                <w:kern w:val="36"/>
                <w:sz w:val="36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甄开吉</w:t>
            </w:r>
          </w:p>
          <w:p w:rsidR="006A0F62" w:rsidRDefault="006A0F62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A0F62" w:rsidRDefault="00B2158F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必读</w:t>
            </w:r>
          </w:p>
        </w:tc>
      </w:tr>
      <w:tr w:rsidR="006A0F62">
        <w:trPr>
          <w:trHeight w:val="586"/>
        </w:trPr>
        <w:tc>
          <w:tcPr>
            <w:tcW w:w="817" w:type="dxa"/>
          </w:tcPr>
          <w:p w:rsidR="006A0F62" w:rsidRDefault="00B2158F">
            <w:pPr>
              <w:widowControl w:val="0"/>
              <w:adjustRightInd/>
              <w:spacing w:after="0" w:line="560" w:lineRule="exact"/>
              <w:jc w:val="both"/>
              <w:rPr>
                <w:rFonts w:ascii="仿宋" w:eastAsia="仿宋" w:hAnsi="仿宋" w:cs="Times New Roman"/>
                <w:bCs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3896" w:type="dxa"/>
            <w:vAlign w:val="center"/>
          </w:tcPr>
          <w:p w:rsidR="006A0F62" w:rsidRDefault="00B2158F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化学反应工程</w:t>
            </w:r>
          </w:p>
        </w:tc>
        <w:tc>
          <w:tcPr>
            <w:tcW w:w="2547" w:type="dxa"/>
            <w:vAlign w:val="center"/>
          </w:tcPr>
          <w:p w:rsidR="006A0F62" w:rsidRDefault="00B2158F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美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]Fogler H.Scott</w:t>
            </w:r>
          </w:p>
        </w:tc>
        <w:tc>
          <w:tcPr>
            <w:tcW w:w="1800" w:type="dxa"/>
            <w:vAlign w:val="center"/>
          </w:tcPr>
          <w:p w:rsidR="006A0F62" w:rsidRDefault="00B2158F">
            <w:pPr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必读</w:t>
            </w:r>
          </w:p>
        </w:tc>
      </w:tr>
    </w:tbl>
    <w:p w:rsidR="006A0F62" w:rsidRDefault="006A0F62">
      <w:pPr>
        <w:widowControl w:val="0"/>
        <w:adjustRightInd/>
        <w:spacing w:after="0" w:line="560" w:lineRule="exact"/>
        <w:ind w:firstLineChars="200" w:firstLine="632"/>
        <w:jc w:val="both"/>
        <w:rPr>
          <w:rFonts w:ascii="黑体" w:eastAsia="黑体" w:hAnsi="黑体" w:cs="Times New Roman"/>
          <w:bCs/>
          <w:kern w:val="2"/>
          <w:sz w:val="32"/>
          <w:szCs w:val="32"/>
        </w:rPr>
      </w:pPr>
    </w:p>
    <w:sectPr w:rsidR="006A0F62">
      <w:footerReference w:type="even" r:id="rId8"/>
      <w:footerReference w:type="default" r:id="rId9"/>
      <w:pgSz w:w="11906" w:h="16838"/>
      <w:pgMar w:top="2098" w:right="1474" w:bottom="1985" w:left="1588" w:header="851" w:footer="1531" w:gutter="0"/>
      <w:cols w:space="425"/>
      <w:docGrid w:type="linesAndChars" w:linePitch="590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5BE" w:rsidRDefault="004025BE">
      <w:r>
        <w:separator/>
      </w:r>
    </w:p>
  </w:endnote>
  <w:endnote w:type="continuationSeparator" w:id="0">
    <w:p w:rsidR="004025BE" w:rsidRDefault="0040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F62" w:rsidRDefault="00B2158F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0F62" w:rsidRDefault="006A0F6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4055008"/>
    </w:sdtPr>
    <w:sdtEndPr/>
    <w:sdtContent>
      <w:p w:rsidR="006A0F62" w:rsidRDefault="00B2158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049" w:rsidRPr="003E4049">
          <w:rPr>
            <w:noProof/>
            <w:lang w:val="zh-CN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5BE" w:rsidRDefault="004025BE">
      <w:pPr>
        <w:spacing w:after="0"/>
      </w:pPr>
      <w:r>
        <w:separator/>
      </w:r>
    </w:p>
  </w:footnote>
  <w:footnote w:type="continuationSeparator" w:id="0">
    <w:p w:rsidR="004025BE" w:rsidRDefault="004025B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129481"/>
    <w:multiLevelType w:val="singleLevel"/>
    <w:tmpl w:val="AB129481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64CF7AE"/>
    <w:multiLevelType w:val="singleLevel"/>
    <w:tmpl w:val="564CF7A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0N2I1YTBmNTM1ZjU5ZjAwODY5NDVmNDBjMGNjYzQifQ=="/>
  </w:docVars>
  <w:rsids>
    <w:rsidRoot w:val="00D31D50"/>
    <w:rsid w:val="000C1A93"/>
    <w:rsid w:val="000E5BC8"/>
    <w:rsid w:val="00114713"/>
    <w:rsid w:val="001739AF"/>
    <w:rsid w:val="00186D04"/>
    <w:rsid w:val="001D6ADE"/>
    <w:rsid w:val="00200F56"/>
    <w:rsid w:val="00206376"/>
    <w:rsid w:val="00276214"/>
    <w:rsid w:val="00297EC0"/>
    <w:rsid w:val="002B5D46"/>
    <w:rsid w:val="002F0550"/>
    <w:rsid w:val="00323B43"/>
    <w:rsid w:val="00324B55"/>
    <w:rsid w:val="0033021F"/>
    <w:rsid w:val="00370D55"/>
    <w:rsid w:val="003825F9"/>
    <w:rsid w:val="003D37D8"/>
    <w:rsid w:val="003D4E53"/>
    <w:rsid w:val="003E08F8"/>
    <w:rsid w:val="003E4049"/>
    <w:rsid w:val="003E6D6F"/>
    <w:rsid w:val="004025BE"/>
    <w:rsid w:val="004253AF"/>
    <w:rsid w:val="00426133"/>
    <w:rsid w:val="004358AB"/>
    <w:rsid w:val="004459C1"/>
    <w:rsid w:val="004673EC"/>
    <w:rsid w:val="00491D38"/>
    <w:rsid w:val="004D3856"/>
    <w:rsid w:val="004F7533"/>
    <w:rsid w:val="0050488D"/>
    <w:rsid w:val="0059496E"/>
    <w:rsid w:val="005F0545"/>
    <w:rsid w:val="005F50D8"/>
    <w:rsid w:val="00620414"/>
    <w:rsid w:val="00641D79"/>
    <w:rsid w:val="0067051D"/>
    <w:rsid w:val="006731A1"/>
    <w:rsid w:val="00677794"/>
    <w:rsid w:val="00691DA7"/>
    <w:rsid w:val="006A0F62"/>
    <w:rsid w:val="00762A02"/>
    <w:rsid w:val="00781EC3"/>
    <w:rsid w:val="00782FD7"/>
    <w:rsid w:val="00793F3E"/>
    <w:rsid w:val="008074ED"/>
    <w:rsid w:val="00832E3E"/>
    <w:rsid w:val="008442FD"/>
    <w:rsid w:val="008755D1"/>
    <w:rsid w:val="00884088"/>
    <w:rsid w:val="008A3704"/>
    <w:rsid w:val="008B37D9"/>
    <w:rsid w:val="008B7726"/>
    <w:rsid w:val="008F176C"/>
    <w:rsid w:val="008F3F59"/>
    <w:rsid w:val="009048C2"/>
    <w:rsid w:val="00994845"/>
    <w:rsid w:val="009D6A20"/>
    <w:rsid w:val="00A923BE"/>
    <w:rsid w:val="00AE402B"/>
    <w:rsid w:val="00B2158F"/>
    <w:rsid w:val="00B25D97"/>
    <w:rsid w:val="00B31E7C"/>
    <w:rsid w:val="00C676CA"/>
    <w:rsid w:val="00CB147C"/>
    <w:rsid w:val="00CC0B34"/>
    <w:rsid w:val="00CC6640"/>
    <w:rsid w:val="00D276ED"/>
    <w:rsid w:val="00D31D50"/>
    <w:rsid w:val="00E14AEB"/>
    <w:rsid w:val="00E62D14"/>
    <w:rsid w:val="00EC1D41"/>
    <w:rsid w:val="00ED794D"/>
    <w:rsid w:val="00EF3448"/>
    <w:rsid w:val="00F11ED6"/>
    <w:rsid w:val="00F72E39"/>
    <w:rsid w:val="00F9449B"/>
    <w:rsid w:val="00FC15AD"/>
    <w:rsid w:val="00FC4A68"/>
    <w:rsid w:val="00FC5D91"/>
    <w:rsid w:val="00FC7C87"/>
    <w:rsid w:val="13935860"/>
    <w:rsid w:val="1DD12E61"/>
    <w:rsid w:val="2A392D2E"/>
    <w:rsid w:val="3CEA2EBC"/>
    <w:rsid w:val="4BF929C9"/>
    <w:rsid w:val="5F44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 w:val="0"/>
      <w:adjustRightInd/>
      <w:snapToGrid/>
      <w:spacing w:beforeAutospacing="1" w:after="0" w:afterAutospacing="1"/>
    </w:pPr>
    <w:rPr>
      <w:rFonts w:ascii="Calibri" w:eastAsia="宋体" w:hAnsi="Calibri" w:cs="Times New Roman"/>
      <w:sz w:val="24"/>
      <w:szCs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ahoma" w:hAnsi="Tahoma"/>
      <w:sz w:val="18"/>
      <w:szCs w:val="18"/>
    </w:rPr>
  </w:style>
  <w:style w:type="paragraph" w:customStyle="1" w:styleId="Char1">
    <w:name w:val="Char"/>
    <w:basedOn w:val="a"/>
    <w:qFormat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4253AF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253AF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 w:val="0"/>
      <w:adjustRightInd/>
      <w:snapToGrid/>
      <w:spacing w:beforeAutospacing="1" w:after="0" w:afterAutospacing="1"/>
    </w:pPr>
    <w:rPr>
      <w:rFonts w:ascii="Calibri" w:eastAsia="宋体" w:hAnsi="Calibri" w:cs="Times New Roman"/>
      <w:sz w:val="24"/>
      <w:szCs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ahoma" w:hAnsi="Tahoma"/>
      <w:sz w:val="18"/>
      <w:szCs w:val="18"/>
    </w:rPr>
  </w:style>
  <w:style w:type="paragraph" w:customStyle="1" w:styleId="Char1">
    <w:name w:val="Char"/>
    <w:basedOn w:val="a"/>
    <w:qFormat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4253AF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253AF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6</cp:revision>
  <cp:lastPrinted>2022-09-07T01:50:00Z</cp:lastPrinted>
  <dcterms:created xsi:type="dcterms:W3CDTF">2022-07-11T06:40:00Z</dcterms:created>
  <dcterms:modified xsi:type="dcterms:W3CDTF">2022-11-02T02:13:00Z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29DE8ED950CE4431A9B10388E18A1C75</vt:lpwstr>
  </property>
</Properties>
</file>