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C8" w:rsidRPr="00BF2AC8" w:rsidRDefault="00BF2AC8" w:rsidP="00BF2AC8">
      <w:pPr>
        <w:spacing w:line="556" w:lineRule="exact"/>
        <w:rPr>
          <w:rFonts w:ascii="仿宋_GB2312" w:eastAsia="仿宋_GB2312" w:hAnsi="Microsoft YaHei UI"/>
          <w:kern w:val="0"/>
          <w:sz w:val="32"/>
          <w:szCs w:val="32"/>
        </w:rPr>
      </w:pPr>
      <w:r w:rsidRPr="00BF2AC8">
        <w:rPr>
          <w:rFonts w:ascii="仿宋_GB2312" w:eastAsia="仿宋_GB2312" w:hAnsi="Microsoft YaHei UI" w:hint="eastAsia"/>
          <w:kern w:val="0"/>
          <w:sz w:val="32"/>
          <w:szCs w:val="32"/>
        </w:rPr>
        <w:t>附件1</w:t>
      </w:r>
    </w:p>
    <w:p w:rsidR="0068014C" w:rsidRDefault="0068014C" w:rsidP="0068014C">
      <w:pPr>
        <w:spacing w:line="556" w:lineRule="exact"/>
        <w:ind w:firstLineChars="200" w:firstLine="720"/>
        <w:jc w:val="center"/>
        <w:rPr>
          <w:rFonts w:ascii="方正小标宋简体" w:eastAsia="方正小标宋简体" w:hAnsi="黑体"/>
          <w:kern w:val="0"/>
          <w:sz w:val="36"/>
          <w:szCs w:val="36"/>
        </w:rPr>
      </w:pPr>
      <w:r w:rsidRPr="0068014C">
        <w:rPr>
          <w:rFonts w:ascii="方正小标宋简体" w:eastAsia="方正小标宋简体" w:hAnsi="黑体" w:hint="eastAsia"/>
          <w:kern w:val="0"/>
          <w:sz w:val="36"/>
          <w:szCs w:val="36"/>
        </w:rPr>
        <w:t>推荐要求</w:t>
      </w:r>
    </w:p>
    <w:p w:rsidR="0068014C" w:rsidRPr="0068014C" w:rsidRDefault="0068014C" w:rsidP="0068014C">
      <w:pPr>
        <w:spacing w:line="556" w:lineRule="exact"/>
        <w:ind w:firstLineChars="200" w:firstLine="720"/>
        <w:jc w:val="center"/>
        <w:rPr>
          <w:rFonts w:ascii="方正小标宋简体" w:eastAsia="方正小标宋简体" w:hAnsi="黑体"/>
          <w:kern w:val="0"/>
          <w:sz w:val="36"/>
          <w:szCs w:val="36"/>
        </w:rPr>
      </w:pPr>
    </w:p>
    <w:p w:rsidR="0068014C" w:rsidRPr="0068014C" w:rsidRDefault="0068014C" w:rsidP="0068014C">
      <w:pPr>
        <w:spacing w:line="556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68014C">
        <w:rPr>
          <w:rFonts w:ascii="黑体" w:eastAsia="黑体" w:hAnsi="黑体" w:hint="eastAsia"/>
          <w:kern w:val="0"/>
          <w:sz w:val="32"/>
          <w:szCs w:val="32"/>
        </w:rPr>
        <w:t>一、推荐类别</w:t>
      </w:r>
    </w:p>
    <w:p w:rsidR="00587F7B" w:rsidRPr="00C0135A" w:rsidRDefault="00587F7B" w:rsidP="00587F7B">
      <w:pPr>
        <w:spacing w:line="556" w:lineRule="exact"/>
        <w:ind w:firstLine="640"/>
        <w:rPr>
          <w:rFonts w:ascii="仿宋_GB2312" w:eastAsia="仿宋_GB2312" w:hAnsi="Microsoft YaHei UI"/>
          <w:kern w:val="0"/>
          <w:sz w:val="32"/>
          <w:szCs w:val="32"/>
        </w:rPr>
      </w:pP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（一）</w:t>
      </w:r>
      <w:r w:rsidR="0068014C">
        <w:rPr>
          <w:rFonts w:ascii="仿宋_GB2312" w:eastAsia="仿宋_GB2312" w:hAnsi="Microsoft YaHei UI" w:hint="eastAsia"/>
          <w:kern w:val="0"/>
          <w:sz w:val="32"/>
          <w:szCs w:val="32"/>
        </w:rPr>
        <w:t>学科类。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学科类重点实验室依托高校建设</w:t>
      </w:r>
      <w:r w:rsidR="0068014C">
        <w:rPr>
          <w:rFonts w:ascii="仿宋_GB2312" w:eastAsia="仿宋_GB2312" w:hAnsi="Microsoft YaHei UI" w:hint="eastAsia"/>
          <w:kern w:val="0"/>
          <w:sz w:val="32"/>
          <w:szCs w:val="32"/>
        </w:rPr>
        <w:t>，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结合高校“双一流”学科建设，重点支持面向国际学科前沿和国家重大需求，开展战略性、前瞻性、前沿性基础研究和应用研究，聚集和培养高层次科技人才团队，为提升源头创新能力、实现可持续创新发展提供先进理论等科技支撑。</w:t>
      </w:r>
    </w:p>
    <w:p w:rsidR="00587F7B" w:rsidRPr="00C0135A" w:rsidRDefault="00587F7B" w:rsidP="00587F7B">
      <w:pPr>
        <w:spacing w:line="556" w:lineRule="exact"/>
        <w:ind w:firstLine="640"/>
        <w:rPr>
          <w:rFonts w:ascii="仿宋_GB2312" w:eastAsia="仿宋_GB2312" w:hAnsi="Microsoft YaHei UI"/>
          <w:kern w:val="0"/>
          <w:sz w:val="32"/>
          <w:szCs w:val="32"/>
        </w:rPr>
      </w:pP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（二）企业类</w:t>
      </w:r>
      <w:r w:rsidR="0068014C">
        <w:rPr>
          <w:rFonts w:ascii="仿宋_GB2312" w:eastAsia="仿宋_GB2312" w:hAnsi="Microsoft YaHei UI" w:hint="eastAsia"/>
          <w:kern w:val="0"/>
          <w:sz w:val="32"/>
          <w:szCs w:val="32"/>
        </w:rPr>
        <w:t>（含军民融合）。企业类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重点实验室依托企业、院所建设</w:t>
      </w:r>
      <w:r w:rsidR="0068014C">
        <w:rPr>
          <w:rFonts w:ascii="仿宋_GB2312" w:eastAsia="仿宋_GB2312" w:hAnsi="Microsoft YaHei UI" w:hint="eastAsia"/>
          <w:kern w:val="0"/>
          <w:sz w:val="32"/>
          <w:szCs w:val="32"/>
        </w:rPr>
        <w:t>，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重点支持创新条件优、创新实力强、产学研合作机制良好的大型龙头骨干企业及大院大所，聚焦行业和产业前沿需求，开展应用基础研究和关键核心技术研究，培养引进优秀技术创新人才和团队，为提升产业核心竞争力提供支撑。</w:t>
      </w:r>
    </w:p>
    <w:p w:rsidR="00587F7B" w:rsidRPr="0068014C" w:rsidRDefault="0068014C" w:rsidP="00587F7B">
      <w:pPr>
        <w:spacing w:line="556" w:lineRule="exact"/>
        <w:ind w:firstLineChars="200" w:firstLine="640"/>
        <w:rPr>
          <w:rFonts w:ascii="黑体" w:eastAsia="黑体" w:hAnsi="黑体"/>
          <w:sz w:val="32"/>
        </w:rPr>
      </w:pPr>
      <w:r w:rsidRPr="0068014C">
        <w:rPr>
          <w:rFonts w:ascii="黑体" w:eastAsia="黑体" w:hAnsi="黑体" w:hint="eastAsia"/>
          <w:sz w:val="32"/>
        </w:rPr>
        <w:t>二、</w:t>
      </w:r>
      <w:r w:rsidR="00587F7B" w:rsidRPr="0068014C">
        <w:rPr>
          <w:rFonts w:ascii="黑体" w:eastAsia="黑体" w:hAnsi="黑体" w:hint="eastAsia"/>
          <w:sz w:val="32"/>
        </w:rPr>
        <w:t>认定条件</w:t>
      </w:r>
    </w:p>
    <w:p w:rsidR="00587F7B" w:rsidRPr="00C0135A" w:rsidRDefault="00587F7B" w:rsidP="00587F7B">
      <w:pPr>
        <w:spacing w:line="556" w:lineRule="exact"/>
        <w:ind w:firstLine="643"/>
        <w:rPr>
          <w:rFonts w:ascii="仿宋_GB2312" w:eastAsia="仿宋_GB2312" w:hAnsi="Microsoft YaHei UI"/>
          <w:kern w:val="0"/>
          <w:sz w:val="32"/>
          <w:szCs w:val="32"/>
        </w:rPr>
      </w:pP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（一）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研究方向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与定位：研究方向明确，定位清晰，符合国家、省、市经济、社会与科技发展战略目标，从事基础研究或应用基础研究，并具有开展学科前沿、交叉领域研究的能力，对行业具有辐射和支撑作用。</w:t>
      </w:r>
    </w:p>
    <w:p w:rsidR="00587F7B" w:rsidRPr="00C0135A" w:rsidRDefault="00587F7B" w:rsidP="00587F7B">
      <w:pPr>
        <w:spacing w:line="556" w:lineRule="exact"/>
        <w:ind w:firstLine="643"/>
        <w:rPr>
          <w:rFonts w:ascii="仿宋_GB2312" w:eastAsia="仿宋_GB2312" w:hAnsi="Microsoft YaHei UI"/>
          <w:kern w:val="0"/>
          <w:sz w:val="32"/>
          <w:szCs w:val="32"/>
        </w:rPr>
      </w:pP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（二）基础条件与投入：应具备一定规模的科研实验条件、基础设施和经费保障。其中：科研用房面积不少于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平方米"/>
        </w:smartTagPr>
        <w:r w:rsidRPr="00C0135A">
          <w:rPr>
            <w:rFonts w:ascii="仿宋_GB2312" w:eastAsia="仿宋_GB2312" w:hAnsi="Microsoft YaHei UI" w:hint="eastAsia"/>
            <w:kern w:val="0"/>
            <w:sz w:val="32"/>
            <w:szCs w:val="32"/>
          </w:rPr>
          <w:t>1000平方米</w:t>
        </w:r>
      </w:smartTag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；科研仪器设备原值不少于1000万元；近三年重点实验室建设与运行经费投入累计不少于1000万元。</w:t>
      </w:r>
    </w:p>
    <w:p w:rsidR="00587F7B" w:rsidRPr="00C0135A" w:rsidRDefault="00587F7B" w:rsidP="00587F7B">
      <w:pPr>
        <w:spacing w:line="556" w:lineRule="exact"/>
        <w:ind w:firstLine="643"/>
        <w:rPr>
          <w:rFonts w:ascii="仿宋_GB2312" w:eastAsia="仿宋_GB2312" w:hAnsi="Microsoft YaHei UI"/>
          <w:kern w:val="0"/>
          <w:sz w:val="32"/>
          <w:szCs w:val="32"/>
        </w:rPr>
      </w:pP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企业类除上述要求外，依托单位上年度技术及产品销售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lastRenderedPageBreak/>
        <w:t>收入应达到2亿元以上，年研究开发经费投入应达到1000万元以上。</w:t>
      </w:r>
    </w:p>
    <w:p w:rsidR="00587F7B" w:rsidRPr="00C0135A" w:rsidRDefault="00587F7B" w:rsidP="00587F7B">
      <w:pPr>
        <w:spacing w:line="556" w:lineRule="exact"/>
        <w:ind w:firstLine="643"/>
        <w:rPr>
          <w:rFonts w:ascii="仿宋_GB2312" w:eastAsia="仿宋_GB2312" w:hAnsi="Microsoft YaHei UI"/>
          <w:kern w:val="0"/>
          <w:sz w:val="32"/>
          <w:szCs w:val="32"/>
        </w:rPr>
      </w:pP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（三）人才队伍建设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：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重点实验室应有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一支数量合理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，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结构优化、学术水平高、学风严谨、创新意识浓厚、相对稳定的科技创新队伍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，固定科研人员总数不少于15人，且高级职称以上人员不少于5人。</w:t>
      </w:r>
    </w:p>
    <w:p w:rsidR="00587F7B" w:rsidRPr="00C0135A" w:rsidRDefault="00587F7B" w:rsidP="00587F7B">
      <w:pPr>
        <w:spacing w:line="556" w:lineRule="exact"/>
        <w:ind w:firstLine="643"/>
        <w:rPr>
          <w:rFonts w:ascii="仿宋_GB2312" w:eastAsia="仿宋_GB2312" w:hAnsi="Microsoft YaHei UI"/>
          <w:kern w:val="0"/>
          <w:sz w:val="32"/>
          <w:szCs w:val="32"/>
        </w:rPr>
      </w:pP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重点实验室应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有人才培养能力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和引进机制。</w:t>
      </w:r>
    </w:p>
    <w:p w:rsidR="00587F7B" w:rsidRPr="00C0135A" w:rsidRDefault="00587F7B" w:rsidP="00587F7B">
      <w:pPr>
        <w:spacing w:line="556" w:lineRule="exact"/>
        <w:ind w:firstLine="643"/>
        <w:rPr>
          <w:rFonts w:ascii="仿宋_GB2312" w:eastAsia="仿宋_GB2312" w:hAnsi="Microsoft YaHei UI"/>
          <w:kern w:val="0"/>
          <w:sz w:val="32"/>
          <w:szCs w:val="32"/>
        </w:rPr>
      </w:pP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1.学科类重点实验室近三年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培养硕士以上人才不少于70名，其中博士以上不少于10%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。</w:t>
      </w:r>
    </w:p>
    <w:p w:rsidR="00587F7B" w:rsidRPr="00C0135A" w:rsidRDefault="00587F7B" w:rsidP="00587F7B">
      <w:pPr>
        <w:spacing w:line="556" w:lineRule="exact"/>
        <w:ind w:firstLine="643"/>
        <w:rPr>
          <w:rFonts w:ascii="仿宋_GB2312" w:eastAsia="仿宋_GB2312" w:hAnsi="Microsoft YaHei UI"/>
          <w:kern w:val="0"/>
          <w:sz w:val="32"/>
          <w:szCs w:val="32"/>
        </w:rPr>
      </w:pP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2.企业类重点实验室近三年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引进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补充各类科研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人才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不少于5名。</w:t>
      </w:r>
    </w:p>
    <w:p w:rsidR="00587F7B" w:rsidRPr="00C0135A" w:rsidRDefault="00587F7B" w:rsidP="00587F7B">
      <w:pPr>
        <w:spacing w:line="556" w:lineRule="exact"/>
        <w:ind w:firstLine="643"/>
        <w:rPr>
          <w:rFonts w:ascii="仿宋_GB2312" w:eastAsia="仿宋_GB2312" w:hAnsi="Microsoft YaHei UI"/>
          <w:kern w:val="0"/>
          <w:sz w:val="32"/>
          <w:szCs w:val="32"/>
        </w:rPr>
      </w:pP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（四）科研能力与成果：应在同领域研究中具有显著技术优势和雄厚科研实力，具有承担重大科研任务的能力，在行业或领域具有一定的影响力，能引领同类学科或行业发展。</w:t>
      </w:r>
    </w:p>
    <w:p w:rsidR="00587F7B" w:rsidRPr="00BF2AC8" w:rsidRDefault="00587F7B" w:rsidP="00BF2AC8">
      <w:pPr>
        <w:spacing w:line="556" w:lineRule="exact"/>
        <w:ind w:firstLine="643"/>
        <w:rPr>
          <w:rFonts w:ascii="仿宋_GB2312" w:eastAsia="仿宋_GB2312" w:hAnsi="Microsoft YaHei UI"/>
          <w:kern w:val="0"/>
          <w:sz w:val="32"/>
          <w:szCs w:val="32"/>
        </w:rPr>
      </w:pP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1.</w:t>
      </w:r>
      <w:r>
        <w:rPr>
          <w:rFonts w:ascii="仿宋_GB2312" w:eastAsia="仿宋_GB2312" w:hAnsi="Microsoft YaHei UI" w:hint="eastAsia"/>
          <w:kern w:val="0"/>
          <w:sz w:val="32"/>
          <w:szCs w:val="32"/>
        </w:rPr>
        <w:t>学科类应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有重点学科支撑，且近三年承担各类科技计划项目及横向科研项目10项及以上，在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国内外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出版的专著和在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核心期刊发表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的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学术论文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不少于5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0篇（部），其中</w:t>
      </w:r>
      <w:r>
        <w:rPr>
          <w:rFonts w:ascii="仿宋_GB2312" w:eastAsia="仿宋_GB2312" w:hAnsi="Microsoft YaHei UI" w:hint="eastAsia"/>
          <w:kern w:val="0"/>
          <w:sz w:val="32"/>
          <w:szCs w:val="32"/>
        </w:rPr>
        <w:t>高水平代表作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10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篇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及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以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上，获得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专利受理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及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软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件著作权不少于15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个，其中授权发明专利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5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个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及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以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上，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获省部级科学技术奖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不少于1</w:t>
      </w:r>
      <w:r>
        <w:rPr>
          <w:rFonts w:ascii="仿宋_GB2312" w:eastAsia="仿宋_GB2312" w:hAnsi="Microsoft YaHei UI" w:hint="eastAsia"/>
          <w:kern w:val="0"/>
          <w:sz w:val="32"/>
          <w:szCs w:val="32"/>
        </w:rPr>
        <w:t>项</w:t>
      </w:r>
      <w:r w:rsidR="004F43B2">
        <w:rPr>
          <w:rFonts w:ascii="仿宋_GB2312" w:eastAsia="仿宋_GB2312" w:hAnsi="Microsoft YaHei UI" w:hint="eastAsia"/>
          <w:kern w:val="0"/>
          <w:sz w:val="32"/>
          <w:szCs w:val="32"/>
        </w:rPr>
        <w:t>。</w:t>
      </w:r>
      <w:r w:rsidR="00BF2AC8">
        <w:rPr>
          <w:rFonts w:ascii="仿宋_GB2312" w:eastAsia="仿宋_GB2312" w:hAnsi="Microsoft YaHei UI" w:hint="eastAsia"/>
          <w:kern w:val="0"/>
          <w:sz w:val="32"/>
          <w:szCs w:val="32"/>
        </w:rPr>
        <w:t>成果就地转化实效明显的实验室</w:t>
      </w:r>
      <w:r w:rsidR="004F43B2">
        <w:rPr>
          <w:rFonts w:ascii="仿宋_GB2312" w:eastAsia="仿宋_GB2312" w:hAnsi="Microsoft YaHei UI" w:hint="eastAsia"/>
          <w:kern w:val="0"/>
          <w:sz w:val="32"/>
          <w:szCs w:val="32"/>
        </w:rPr>
        <w:t>优先考虑</w:t>
      </w:r>
      <w:r w:rsidR="00BF2AC8">
        <w:rPr>
          <w:rFonts w:ascii="仿宋_GB2312" w:eastAsia="仿宋_GB2312" w:hAnsi="Microsoft YaHei UI" w:hint="eastAsia"/>
          <w:kern w:val="0"/>
          <w:sz w:val="32"/>
          <w:szCs w:val="32"/>
        </w:rPr>
        <w:t>。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市属高校条件可适当放宽。</w:t>
      </w:r>
    </w:p>
    <w:p w:rsidR="00587F7B" w:rsidRPr="00C0135A" w:rsidRDefault="00587F7B" w:rsidP="00587F7B">
      <w:pPr>
        <w:spacing w:line="556" w:lineRule="exact"/>
        <w:ind w:firstLine="643"/>
        <w:rPr>
          <w:rFonts w:ascii="仿宋_GB2312" w:eastAsia="仿宋_GB2312" w:hAnsi="Microsoft YaHei UI"/>
          <w:kern w:val="0"/>
          <w:sz w:val="32"/>
          <w:szCs w:val="32"/>
        </w:rPr>
      </w:pP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2.企业类应从事本领域技术研究</w:t>
      </w:r>
      <w:r>
        <w:rPr>
          <w:rFonts w:ascii="仿宋_GB2312" w:eastAsia="仿宋_GB2312" w:hAnsi="Microsoft YaHei UI" w:hint="eastAsia"/>
          <w:kern w:val="0"/>
          <w:sz w:val="32"/>
          <w:szCs w:val="32"/>
        </w:rPr>
        <w:t>5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年及以上，研究开发的技术具有较强的市场竞争力，且近三年开发新产品3个</w:t>
      </w:r>
      <w:r>
        <w:rPr>
          <w:rFonts w:ascii="仿宋_GB2312" w:eastAsia="仿宋_GB2312" w:hAnsi="Microsoft YaHei UI" w:hint="eastAsia"/>
          <w:kern w:val="0"/>
          <w:sz w:val="32"/>
          <w:szCs w:val="32"/>
        </w:rPr>
        <w:t>及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以上或转化收入1000万元</w:t>
      </w:r>
      <w:r>
        <w:rPr>
          <w:rFonts w:ascii="仿宋_GB2312" w:eastAsia="仿宋_GB2312" w:hAnsi="Microsoft YaHei UI" w:hint="eastAsia"/>
          <w:kern w:val="0"/>
          <w:sz w:val="32"/>
          <w:szCs w:val="32"/>
        </w:rPr>
        <w:t>及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以上，主持或参与制定各类标准1个及以上，获得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专利受理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及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软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件著作权不少于5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个，其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lastRenderedPageBreak/>
        <w:t>中授权发明专利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2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个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及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>以</w:t>
      </w: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上。</w:t>
      </w:r>
    </w:p>
    <w:p w:rsidR="00587F7B" w:rsidRPr="00C0135A" w:rsidRDefault="00587F7B" w:rsidP="00587F7B">
      <w:pPr>
        <w:spacing w:line="556" w:lineRule="exact"/>
        <w:ind w:firstLine="643"/>
        <w:rPr>
          <w:rFonts w:ascii="仿宋_GB2312" w:eastAsia="仿宋_GB2312" w:hAnsi="Microsoft YaHei UI"/>
          <w:kern w:val="0"/>
          <w:sz w:val="32"/>
          <w:szCs w:val="32"/>
        </w:rPr>
      </w:pP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（五）学术交流与开放共享：重点实验室应广泛开展国内外学术交流，对产业提供技术服务和仪器设备开放共享，近三年承办学术会议不少于3次；提供开放共享服务不少于5家单位或50批次。</w:t>
      </w:r>
      <w:r w:rsidRPr="00C0135A">
        <w:rPr>
          <w:rFonts w:ascii="仿宋_GB2312" w:eastAsia="仿宋_GB2312" w:hAnsi="Microsoft YaHei UI"/>
          <w:kern w:val="0"/>
          <w:sz w:val="32"/>
          <w:szCs w:val="32"/>
        </w:rPr>
        <w:t xml:space="preserve"> </w:t>
      </w:r>
    </w:p>
    <w:p w:rsidR="00587F7B" w:rsidRDefault="00587F7B" w:rsidP="00587F7B">
      <w:pPr>
        <w:spacing w:line="556" w:lineRule="exact"/>
        <w:ind w:firstLine="643"/>
        <w:rPr>
          <w:rFonts w:ascii="仿宋_GB2312" w:eastAsia="仿宋_GB2312" w:hAnsi="Microsoft YaHei UI"/>
          <w:kern w:val="0"/>
          <w:sz w:val="32"/>
          <w:szCs w:val="32"/>
        </w:rPr>
      </w:pPr>
      <w:r w:rsidRPr="00C0135A">
        <w:rPr>
          <w:rFonts w:ascii="仿宋_GB2312" w:eastAsia="仿宋_GB2312" w:hAnsi="Microsoft YaHei UI" w:hint="eastAsia"/>
          <w:kern w:val="0"/>
          <w:sz w:val="32"/>
          <w:szCs w:val="32"/>
        </w:rPr>
        <w:t>（六）组织管理与安全：实验室管理规范，组织机构健全，各项规章制度完善，管理落实到位，近三年未发生环保、安全、知识产权以及学术不端等不良行为。</w:t>
      </w:r>
    </w:p>
    <w:p w:rsidR="0068014C" w:rsidRPr="0068014C" w:rsidRDefault="0068014C" w:rsidP="00587F7B">
      <w:pPr>
        <w:spacing w:line="556" w:lineRule="exact"/>
        <w:ind w:firstLine="643"/>
        <w:rPr>
          <w:rFonts w:ascii="黑体" w:eastAsia="黑体" w:hAnsi="黑体"/>
          <w:kern w:val="0"/>
          <w:sz w:val="32"/>
          <w:szCs w:val="32"/>
        </w:rPr>
      </w:pPr>
      <w:r w:rsidRPr="0068014C">
        <w:rPr>
          <w:rFonts w:ascii="黑体" w:eastAsia="黑体" w:hAnsi="黑体" w:hint="eastAsia"/>
          <w:kern w:val="0"/>
          <w:sz w:val="32"/>
          <w:szCs w:val="32"/>
        </w:rPr>
        <w:t>三、管理与运行</w:t>
      </w:r>
    </w:p>
    <w:p w:rsidR="00587F7B" w:rsidRPr="00C0135A" w:rsidRDefault="0068014C" w:rsidP="00587F7B">
      <w:pPr>
        <w:spacing w:line="556" w:lineRule="exact"/>
        <w:ind w:firstLine="643"/>
        <w:rPr>
          <w:rFonts w:ascii="仿宋_GB2312" w:eastAsia="仿宋_GB2312" w:hAnsi="Microsoft YaHei UI"/>
          <w:kern w:val="0"/>
          <w:sz w:val="32"/>
          <w:szCs w:val="32"/>
        </w:rPr>
      </w:pPr>
      <w:r w:rsidRPr="0068014C">
        <w:rPr>
          <w:rFonts w:ascii="仿宋_GB2312" w:eastAsia="仿宋_GB2312" w:hAnsi="Microsoft YaHei UI" w:hint="eastAsia"/>
          <w:kern w:val="0"/>
          <w:sz w:val="32"/>
          <w:szCs w:val="32"/>
        </w:rPr>
        <w:t>（一）</w:t>
      </w:r>
      <w:r w:rsidR="00587F7B" w:rsidRPr="00C0135A">
        <w:rPr>
          <w:rFonts w:ascii="仿宋_GB2312" w:eastAsia="仿宋_GB2312" w:hAnsi="Microsoft YaHei UI" w:hint="eastAsia"/>
          <w:kern w:val="0"/>
          <w:sz w:val="32"/>
          <w:szCs w:val="32"/>
        </w:rPr>
        <w:t>重点实验室主任由依托单位聘任在岗在职人员担任，应具有正高级职称或为企业高层技术人员，在本行业或领域内有一定知名度，年龄不超过60周岁，每届任期5年，一般连任不得超过2届，每年在重点实验室工作时间不少于8个月。</w:t>
      </w:r>
    </w:p>
    <w:p w:rsidR="00587F7B" w:rsidRPr="00C0135A" w:rsidRDefault="0068014C" w:rsidP="00587F7B">
      <w:pPr>
        <w:spacing w:line="556" w:lineRule="exact"/>
        <w:ind w:firstLine="636"/>
        <w:rPr>
          <w:rFonts w:ascii="仿宋_GB2312" w:eastAsia="仿宋_GB2312" w:hAnsi="Microsoft YaHei UI"/>
          <w:kern w:val="0"/>
          <w:sz w:val="32"/>
          <w:szCs w:val="32"/>
        </w:rPr>
      </w:pPr>
      <w:r w:rsidRPr="0068014C">
        <w:rPr>
          <w:rFonts w:ascii="仿宋_GB2312" w:eastAsia="仿宋_GB2312" w:hAnsi="Microsoft YaHei UI" w:hint="eastAsia"/>
          <w:kern w:val="0"/>
          <w:sz w:val="32"/>
          <w:szCs w:val="32"/>
        </w:rPr>
        <w:t>（二）</w:t>
      </w:r>
      <w:r w:rsidR="00587F7B" w:rsidRPr="00C0135A">
        <w:rPr>
          <w:rFonts w:ascii="仿宋_GB2312" w:eastAsia="仿宋_GB2312" w:hAnsi="Microsoft YaHei UI" w:hint="eastAsia"/>
          <w:kern w:val="0"/>
          <w:sz w:val="32"/>
          <w:szCs w:val="32"/>
        </w:rPr>
        <w:t>学术委员会组成人</w:t>
      </w:r>
      <w:bookmarkStart w:id="0" w:name="_GoBack"/>
      <w:bookmarkEnd w:id="0"/>
      <w:r w:rsidR="00587F7B" w:rsidRPr="00C0135A">
        <w:rPr>
          <w:rFonts w:ascii="仿宋_GB2312" w:eastAsia="仿宋_GB2312" w:hAnsi="Microsoft YaHei UI" w:hint="eastAsia"/>
          <w:kern w:val="0"/>
          <w:sz w:val="32"/>
          <w:szCs w:val="32"/>
        </w:rPr>
        <w:t>员不少于7人，学术委员会主任由依托单位聘请国内外知名专家（非依托单位人员）担任，其中依托单位的人员不超过总人数的三分之一。</w:t>
      </w:r>
    </w:p>
    <w:p w:rsidR="004522CC" w:rsidRPr="00433E0B" w:rsidRDefault="004522CC" w:rsidP="00587F7B">
      <w:pPr>
        <w:widowControl/>
        <w:shd w:val="clear" w:color="auto" w:fill="FFFFFF"/>
        <w:spacing w:line="560" w:lineRule="exact"/>
        <w:ind w:firstLineChars="200" w:firstLine="420"/>
        <w:jc w:val="left"/>
      </w:pPr>
    </w:p>
    <w:sectPr w:rsidR="004522CC" w:rsidRPr="00433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568" w:rsidRDefault="00246568" w:rsidP="00433E0B">
      <w:r>
        <w:separator/>
      </w:r>
    </w:p>
  </w:endnote>
  <w:endnote w:type="continuationSeparator" w:id="0">
    <w:p w:rsidR="00246568" w:rsidRDefault="00246568" w:rsidP="0043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568" w:rsidRDefault="00246568" w:rsidP="00433E0B">
      <w:r>
        <w:separator/>
      </w:r>
    </w:p>
  </w:footnote>
  <w:footnote w:type="continuationSeparator" w:id="0">
    <w:p w:rsidR="00246568" w:rsidRDefault="00246568" w:rsidP="00433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9C"/>
    <w:rsid w:val="00002B0F"/>
    <w:rsid w:val="00246568"/>
    <w:rsid w:val="002B5E4C"/>
    <w:rsid w:val="00336840"/>
    <w:rsid w:val="003E499C"/>
    <w:rsid w:val="00433E0B"/>
    <w:rsid w:val="004522CC"/>
    <w:rsid w:val="004F43B2"/>
    <w:rsid w:val="005275D8"/>
    <w:rsid w:val="00587F7B"/>
    <w:rsid w:val="0059611A"/>
    <w:rsid w:val="005D192C"/>
    <w:rsid w:val="005E2A30"/>
    <w:rsid w:val="0068014C"/>
    <w:rsid w:val="00711FE3"/>
    <w:rsid w:val="007F05D7"/>
    <w:rsid w:val="008C39ED"/>
    <w:rsid w:val="00B10709"/>
    <w:rsid w:val="00B17D28"/>
    <w:rsid w:val="00BF2AC8"/>
    <w:rsid w:val="00D5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2AA2623"/>
  <w15:chartTrackingRefBased/>
  <w15:docId w15:val="{EA9766F0-12A7-45B9-AA53-430498F6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E0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E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E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E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王鹏</dc:creator>
  <cp:keywords/>
  <dc:description/>
  <cp:lastModifiedBy>王鹏</cp:lastModifiedBy>
  <cp:revision>14</cp:revision>
  <dcterms:created xsi:type="dcterms:W3CDTF">2021-03-17T01:36:00Z</dcterms:created>
  <dcterms:modified xsi:type="dcterms:W3CDTF">2021-03-19T10:13:00Z</dcterms:modified>
</cp:coreProperties>
</file>